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C5A059"/>
          <w:sz w:val="19"/>
        </w:rPr>
        <w:t>ARBOVEYA HERBAL WELLNESS — PAYMENT GATEWAY ARCHITECTURE</w:t>
      </w:r>
    </w:p>
    <w:p>
      <w:pPr>
        <w:spacing w:before="0" w:after="120"/>
      </w:pPr>
      <w:r>
        <w:rPr>
          <w:rFonts w:ascii="Calibri" w:hAnsi="Calibri"/>
          <w:b/>
          <w:color w:val="2E4D38"/>
          <w:sz w:val="48"/>
        </w:rPr>
        <w:t>PayHere Payment Gateway Integration Guide</w:t>
      </w:r>
    </w:p>
    <w:p>
      <w:pPr>
        <w:spacing w:after="320"/>
      </w:pPr>
      <w:r>
        <w:rPr>
          <w:rFonts w:ascii="Calibri" w:hAnsi="Calibri"/>
          <w:color w:val="64748B"/>
          <w:sz w:val="22"/>
        </w:rPr>
        <w:t>Comprehensive Technical Specification: Frontend Checkout, Backend Tokenization, Security Hashes, and Server-to-Server IPN Webhooks.</w:t>
      </w:r>
    </w:p>
    <w:tbl>
      <w:tblPr>
        <w:tblW w:type="auto" w:w="0"/>
        <w:jc w:val="center"/>
        <w:tblLook w:firstColumn="1" w:firstRow="1" w:lastColumn="0" w:lastRow="0" w:noHBand="0" w:noVBand="1" w:val="04A0"/>
      </w:tblPr>
      <w:tblGrid>
        <w:gridCol w:w="2484"/>
        <w:gridCol w:w="2484"/>
        <w:gridCol w:w="2484"/>
        <w:gridCol w:w="2484"/>
      </w:tblGrid>
      <w:tr>
        <w:tc>
          <w:tcPr>
            <w:tcW w:type="dxa" w:w="2484"/>
            <w:shd w:fill="F4F6F4"/>
            <w:tcMar>
              <w:top w:w="80" w:type="dxa"/>
              <w:bottom w:w="80" w:type="dxa"/>
              <w:left w:w="100" w:type="dxa"/>
              <w:right w:w="100" w:type="dxa"/>
            </w:tcMar>
          </w:tcPr>
          <w:p>
            <w:pPr>
              <w:spacing w:after="40"/>
            </w:pPr>
            <w:r>
              <w:rPr>
                <w:rFonts w:ascii="Calibri" w:hAnsi="Calibri"/>
                <w:b/>
                <w:color w:val="2E4D38"/>
                <w:sz w:val="17"/>
              </w:rPr>
              <w:t>Target Gateway</w:t>
              <w:br/>
            </w:r>
            <w:r>
              <w:rPr>
                <w:rFonts w:ascii="Calibri" w:hAnsi="Calibri"/>
                <w:color w:val="1E293B"/>
                <w:sz w:val="19"/>
              </w:rPr>
              <w:t>PayHere Payment Processing</w:t>
            </w:r>
          </w:p>
        </w:tc>
        <w:tc>
          <w:tcPr>
            <w:tcW w:type="dxa" w:w="2484"/>
            <w:shd w:fill="F4F6F4"/>
            <w:tcMar>
              <w:top w:w="80" w:type="dxa"/>
              <w:bottom w:w="80" w:type="dxa"/>
              <w:left w:w="100" w:type="dxa"/>
              <w:right w:w="100" w:type="dxa"/>
            </w:tcMar>
          </w:tcPr>
          <w:p>
            <w:pPr>
              <w:spacing w:after="40"/>
            </w:pPr>
            <w:r>
              <w:rPr>
                <w:rFonts w:ascii="Calibri" w:hAnsi="Calibri"/>
                <w:b/>
                <w:color w:val="2E4D38"/>
                <w:sz w:val="17"/>
              </w:rPr>
              <w:t>Supported Currencies</w:t>
              <w:br/>
            </w:r>
            <w:r>
              <w:rPr>
                <w:rFonts w:ascii="Calibri" w:hAnsi="Calibri"/>
                <w:color w:val="1E293B"/>
                <w:sz w:val="19"/>
              </w:rPr>
              <w:t>USD, LKR, EUR, GBP</w:t>
            </w:r>
          </w:p>
        </w:tc>
        <w:tc>
          <w:tcPr>
            <w:tcW w:type="dxa" w:w="2484"/>
            <w:shd w:fill="F4F6F4"/>
            <w:tcMar>
              <w:top w:w="80" w:type="dxa"/>
              <w:bottom w:w="80" w:type="dxa"/>
              <w:left w:w="100" w:type="dxa"/>
              <w:right w:w="100" w:type="dxa"/>
            </w:tcMar>
          </w:tcPr>
          <w:p>
            <w:pPr>
              <w:spacing w:after="40"/>
            </w:pPr>
            <w:r>
              <w:rPr>
                <w:rFonts w:ascii="Calibri" w:hAnsi="Calibri"/>
                <w:b/>
                <w:color w:val="2E4D38"/>
                <w:sz w:val="17"/>
              </w:rPr>
              <w:t>Integration Mode</w:t>
              <w:br/>
            </w:r>
            <w:r>
              <w:rPr>
                <w:rFonts w:ascii="Calibri" w:hAnsi="Calibri"/>
                <w:color w:val="1E293B"/>
                <w:sz w:val="19"/>
              </w:rPr>
              <w:t>Hosted Popup / Secure Webhook</w:t>
            </w:r>
          </w:p>
        </w:tc>
        <w:tc>
          <w:tcPr>
            <w:tcW w:type="dxa" w:w="2484"/>
            <w:shd w:fill="F4F6F4"/>
            <w:tcMar>
              <w:top w:w="80" w:type="dxa"/>
              <w:bottom w:w="80" w:type="dxa"/>
              <w:left w:w="100" w:type="dxa"/>
              <w:right w:w="100" w:type="dxa"/>
            </w:tcMar>
          </w:tcPr>
          <w:p>
            <w:pPr>
              <w:spacing w:after="40"/>
            </w:pPr>
            <w:r>
              <w:rPr>
                <w:rFonts w:ascii="Calibri" w:hAnsi="Calibri"/>
                <w:b/>
                <w:color w:val="2E4D38"/>
                <w:sz w:val="17"/>
              </w:rPr>
              <w:t>Status</w:t>
              <w:br/>
            </w:r>
            <w:r>
              <w:rPr>
                <w:rFonts w:ascii="Calibri" w:hAnsi="Calibri"/>
                <w:color w:val="1E293B"/>
                <w:sz w:val="19"/>
              </w:rPr>
              <w:t>Backend &amp; Frontend Integrated</w:t>
            </w:r>
          </w:p>
        </w:tc>
      </w:tr>
      <w:tr>
        <w:tc>
          <w:tcPr>
            <w:tcW w:type="dxa" w:w="2484"/>
            <w:shd w:fill="F4F6F4"/>
            <w:tcMar>
              <w:top w:w="80" w:type="dxa"/>
              <w:bottom w:w="80" w:type="dxa"/>
              <w:left w:w="100" w:type="dxa"/>
              <w:right w:w="100" w:type="dxa"/>
            </w:tcMar>
          </w:tcPr>
          <w:p>
            <w:pPr>
              <w:spacing w:after="40"/>
            </w:pPr>
            <w:r>
              <w:rPr>
                <w:rFonts w:ascii="Calibri" w:hAnsi="Calibri"/>
                <w:b/>
                <w:color w:val="2E4D38"/>
                <w:sz w:val="17"/>
              </w:rPr>
              <w:t>Backend Framework</w:t>
              <w:br/>
            </w:r>
            <w:r>
              <w:rPr>
                <w:rFonts w:ascii="Calibri" w:hAnsi="Calibri"/>
                <w:color w:val="1E293B"/>
                <w:sz w:val="19"/>
              </w:rPr>
              <w:t>ASP.NET Core (.NET 9)</w:t>
            </w:r>
          </w:p>
        </w:tc>
        <w:tc>
          <w:tcPr>
            <w:tcW w:type="dxa" w:w="2484"/>
            <w:shd w:fill="F4F6F4"/>
            <w:tcMar>
              <w:top w:w="80" w:type="dxa"/>
              <w:bottom w:w="80" w:type="dxa"/>
              <w:left w:w="100" w:type="dxa"/>
              <w:right w:w="100" w:type="dxa"/>
            </w:tcMar>
          </w:tcPr>
          <w:p>
            <w:pPr>
              <w:spacing w:after="40"/>
            </w:pPr>
            <w:r>
              <w:rPr>
                <w:rFonts w:ascii="Calibri" w:hAnsi="Calibri"/>
                <w:b/>
                <w:color w:val="2E4D38"/>
                <w:sz w:val="17"/>
              </w:rPr>
              <w:t>Frontend Framework</w:t>
              <w:br/>
            </w:r>
            <w:r>
              <w:rPr>
                <w:rFonts w:ascii="Calibri" w:hAnsi="Calibri"/>
                <w:color w:val="1E293B"/>
                <w:sz w:val="19"/>
              </w:rPr>
              <w:t>Next.js 16 (App Router)</w:t>
            </w:r>
          </w:p>
        </w:tc>
        <w:tc>
          <w:tcPr>
            <w:tcW w:type="dxa" w:w="2484"/>
            <w:shd w:fill="F4F6F4"/>
            <w:tcMar>
              <w:top w:w="80" w:type="dxa"/>
              <w:bottom w:w="80" w:type="dxa"/>
              <w:left w:w="100" w:type="dxa"/>
              <w:right w:w="100" w:type="dxa"/>
            </w:tcMar>
          </w:tcPr>
          <w:p>
            <w:pPr>
              <w:spacing w:after="40"/>
            </w:pPr>
            <w:r>
              <w:rPr>
                <w:rFonts w:ascii="Calibri" w:hAnsi="Calibri"/>
                <w:b/>
                <w:color w:val="2E4D38"/>
                <w:sz w:val="17"/>
              </w:rPr>
              <w:t>Security</w:t>
              <w:br/>
            </w:r>
            <w:r>
              <w:rPr>
                <w:rFonts w:ascii="Calibri" w:hAnsi="Calibri"/>
                <w:color w:val="1E293B"/>
                <w:sz w:val="19"/>
              </w:rPr>
              <w:t>HMAC / MD5 Checksum Signature</w:t>
            </w:r>
          </w:p>
        </w:tc>
        <w:tc>
          <w:tcPr>
            <w:tcW w:type="dxa" w:w="2484"/>
            <w:shd w:fill="F4F6F4"/>
            <w:tcMar>
              <w:top w:w="80" w:type="dxa"/>
              <w:bottom w:w="80" w:type="dxa"/>
              <w:left w:w="100" w:type="dxa"/>
              <w:right w:w="100" w:type="dxa"/>
            </w:tcMar>
          </w:tcPr>
          <w:p>
            <w:pPr>
              <w:spacing w:after="40"/>
            </w:pPr>
            <w:r>
              <w:rPr>
                <w:rFonts w:ascii="Calibri" w:hAnsi="Calibri"/>
                <w:b/>
                <w:color w:val="2E4D38"/>
                <w:sz w:val="17"/>
              </w:rPr>
              <w:t>Database</w:t>
              <w:br/>
            </w:r>
            <w:r>
              <w:rPr>
                <w:rFonts w:ascii="Calibri" w:hAnsi="Calibri"/>
                <w:color w:val="1E293B"/>
                <w:sz w:val="19"/>
              </w:rPr>
              <w:t>PostgreSQL (ACID Order Records)</w:t>
            </w:r>
          </w:p>
        </w:tc>
      </w:tr>
    </w:tbl>
    <w:p>
      <w:pPr>
        <w:spacing w:after="240"/>
      </w:pPr>
    </w:p>
    <w:p>
      <w:pPr>
        <w:pStyle w:val="Heading1"/>
        <w:spacing w:before="280" w:after="120"/>
      </w:pPr>
      <w:r>
        <w:rPr>
          <w:rFonts w:ascii="Calibri" w:hAnsi="Calibri"/>
          <w:color w:val="2E4D38"/>
        </w:rPr>
        <w:t>1. Executive Summary &amp; Overview</w:t>
      </w:r>
    </w:p>
    <w:p>
      <w:pPr>
        <w:spacing w:line="276" w:lineRule="auto" w:after="160"/>
      </w:pPr>
      <w:r>
        <w:t>PayHere is a licensed, PCI-DSS compliant Central Bank of Sri Lanka approved payment service provider that allows Arboveya customers to pay seamlessly using Credit Cards (Visa, MasterCard, American Express), Debit Cards, Mobile Wallets (Frimi, Genie, eZ Cash, mCash), and Internet Banking. This document details how payment processing operates end-to-end between the Arboveya customer, the Next.js frontend, the ASP.NET Core backend API, and PayHere's secure processing servers.</w:t>
      </w:r>
    </w:p>
    <w:p>
      <w:pPr>
        <w:pStyle w:val="Heading1"/>
        <w:spacing w:before="280" w:after="120"/>
      </w:pPr>
      <w:r>
        <w:rPr>
          <w:rFonts w:ascii="Calibri" w:hAnsi="Calibri"/>
          <w:color w:val="2E4D38"/>
        </w:rPr>
        <w:t>2. End-to-End Payment Workflow</w:t>
      </w:r>
    </w:p>
    <w:p>
      <w:pPr>
        <w:spacing w:before="120" w:after="40"/>
      </w:pPr>
      <w:r>
        <w:rPr>
          <w:rFonts w:ascii="Calibri" w:hAnsi="Calibri"/>
          <w:b/>
          <w:color w:val="2E4D38"/>
          <w:sz w:val="22"/>
        </w:rPr>
        <w:t>Step 1: Order Placement &amp; Inventory Reservation (Checkout UI)</w:t>
      </w:r>
    </w:p>
    <w:p>
      <w:pPr>
        <w:spacing w:line="276" w:lineRule="auto" w:after="120"/>
      </w:pPr>
      <w:r>
        <w:rPr>
          <w:rFonts w:ascii="Calibri" w:hAnsi="Calibri"/>
          <w:color w:val="1E293B"/>
          <w:sz w:val="20"/>
        </w:rPr>
        <w:t>The customer reviews their cart at http://localhost:3000/cart and proceeds to /checkout. Upon clicking 'PLACE ORDER', the Next.js client sends a POST /api/orders request containing the itemized product list, customer information, and shipping address. The backend verifies stock quantity atomically within a database transaction, deducts inventory, and inserts a new Order record with PaymentStatus = 'Pending' and OrderStatus = 'Pending'.</w:t>
      </w:r>
    </w:p>
    <w:p>
      <w:pPr>
        <w:spacing w:before="120" w:after="40"/>
      </w:pPr>
      <w:r>
        <w:rPr>
          <w:rFonts w:ascii="Calibri" w:hAnsi="Calibri"/>
          <w:b/>
          <w:color w:val="2E4D38"/>
          <w:sz w:val="22"/>
        </w:rPr>
        <w:t>Step 2: PayHere Order Identifier &amp; Cryptographic Hash Generation</w:t>
      </w:r>
    </w:p>
    <w:p>
      <w:pPr>
        <w:spacing w:line="276" w:lineRule="auto" w:after="120"/>
      </w:pPr>
      <w:r>
        <w:rPr>
          <w:rFonts w:ascii="Calibri" w:hAnsi="Calibri"/>
          <w:color w:val="1E293B"/>
          <w:sz w:val="20"/>
        </w:rPr>
        <w:t>The backend generates a unique, gateway-compliant PayHereOrderId (e.g. ORD-202609161345-A1B2C3D4). To prevent client-side parameter manipulation (tampering with the price or currency), the backend calculates a secure MD5 hash using the formula:</w:t>
        <w:br/>
        <w:t>Hash = MD5(merchant_id + order_id + amount_formatted + currency + MD5(merchant_secret))</w:t>
        <w:br/>
        <w:t>The backend returns this hash along with the order ID and exact billing amount to the frontend.</w:t>
      </w:r>
    </w:p>
    <w:p>
      <w:pPr>
        <w:spacing w:before="120" w:after="40"/>
      </w:pPr>
      <w:r>
        <w:rPr>
          <w:rFonts w:ascii="Calibri" w:hAnsi="Calibri"/>
          <w:b/>
          <w:color w:val="2E4D38"/>
          <w:sz w:val="22"/>
        </w:rPr>
        <w:t>Step 3: PayHere Hosted Checkout / Modal Launch</w:t>
      </w:r>
    </w:p>
    <w:p>
      <w:pPr>
        <w:spacing w:line="276" w:lineRule="auto" w:after="120"/>
      </w:pPr>
      <w:r>
        <w:rPr>
          <w:rFonts w:ascii="Calibri" w:hAnsi="Calibri"/>
          <w:color w:val="1E293B"/>
          <w:sz w:val="20"/>
        </w:rPr>
        <w:t>The frontend invokes the PayHere JavaScript SDK (payhere.startPayment(paymentDetails)). A secure popup dialog opens directly over Arboveya's checkout page. Customer card numbers, expiry dates, and CVVs are handled exclusively inside PayHere's PCI-DSS Level 1 vault. No sensitive payment credentials ever touch Arboveya's servers.</w:t>
      </w:r>
    </w:p>
    <w:p>
      <w:pPr>
        <w:spacing w:before="120" w:after="40"/>
      </w:pPr>
      <w:r>
        <w:rPr>
          <w:rFonts w:ascii="Calibri" w:hAnsi="Calibri"/>
          <w:b/>
          <w:color w:val="2E4D38"/>
          <w:sz w:val="22"/>
        </w:rPr>
        <w:t>Step 4: Customer Authentication &amp; 3D-Secure OTP</w:t>
      </w:r>
    </w:p>
    <w:p>
      <w:pPr>
        <w:spacing w:line="276" w:lineRule="auto" w:after="120"/>
      </w:pPr>
      <w:r>
        <w:rPr>
          <w:rFonts w:ascii="Calibri" w:hAnsi="Calibri"/>
          <w:color w:val="1E293B"/>
          <w:sz w:val="20"/>
        </w:rPr>
        <w:t>The customer completes bank 3D-Secure authentication (via SMS OTP or biometric verification in their banking app). PayHere receives authorization from the acquiring bank.</w:t>
      </w:r>
    </w:p>
    <w:p>
      <w:pPr>
        <w:spacing w:before="120" w:after="40"/>
      </w:pPr>
      <w:r>
        <w:rPr>
          <w:rFonts w:ascii="Calibri" w:hAnsi="Calibri"/>
          <w:b/>
          <w:color w:val="2E4D38"/>
          <w:sz w:val="22"/>
        </w:rPr>
        <w:t>Step 5: Instant Payment Notification (IPN Webhook) — Server-to-Server</w:t>
      </w:r>
    </w:p>
    <w:p>
      <w:pPr>
        <w:spacing w:line="276" w:lineRule="auto" w:after="120"/>
      </w:pPr>
      <w:r>
        <w:rPr>
          <w:rFonts w:ascii="Calibri" w:hAnsi="Calibri"/>
          <w:color w:val="1E293B"/>
          <w:sz w:val="20"/>
        </w:rPr>
        <w:t>CRITICAL SECURITY STEP: PayHere's servers immediately send an asynchronous HTTP POST webhook to Arboveya's backend (POST /api/payments/payhere-notify). This server-to-server communication cannot be faked or bypassed by the browser. The backend validates the signature, confirms payment success (status_code == 2), and updates the order status to PaymentStatus = 'Paid' and OrderStatus = 'Processing'.</w:t>
      </w:r>
    </w:p>
    <w:p>
      <w:pPr>
        <w:spacing w:before="120" w:after="40"/>
      </w:pPr>
      <w:r>
        <w:rPr>
          <w:rFonts w:ascii="Calibri" w:hAnsi="Calibri"/>
          <w:b/>
          <w:color w:val="2E4D38"/>
          <w:sz w:val="22"/>
        </w:rPr>
        <w:t>Step 6: Return Redirect &amp; Confirmation Screen</w:t>
      </w:r>
    </w:p>
    <w:p>
      <w:pPr>
        <w:spacing w:line="276" w:lineRule="auto" w:after="120"/>
      </w:pPr>
      <w:r>
        <w:rPr>
          <w:rFonts w:ascii="Calibri" w:hAnsi="Calibri"/>
          <w:color w:val="1E293B"/>
          <w:sz w:val="20"/>
        </w:rPr>
        <w:t>PayHere redirects the customer back to Arboveya's return URL (e.g. /checkout?status=success&amp;orderId=...). The browser displays the receipt screen with the confirmed Order ID, order breakdown, and delivery confirmation.</w:t>
      </w:r>
    </w:p>
    <w:p>
      <w:pPr>
        <w:pStyle w:val="Heading1"/>
        <w:spacing w:before="280" w:after="120"/>
      </w:pPr>
      <w:r>
        <w:rPr>
          <w:rFonts w:ascii="Calibri" w:hAnsi="Calibri"/>
          <w:color w:val="2E4D38"/>
        </w:rPr>
        <w:t>3. Security &amp; Hash Verification Architecture</w:t>
      </w:r>
    </w:p>
    <w:p>
      <w:pPr>
        <w:spacing w:line="276" w:lineRule="auto" w:after="120"/>
      </w:pPr>
      <w:r>
        <w:t>PayHere uses two-way cryptographic verification to guarantee financial integrity:</w:t>
      </w:r>
    </w:p>
    <w:tbl>
      <w:tblPr>
        <w:tblW w:type="auto" w:w="0"/>
        <w:jc w:val="center"/>
        <w:tblLook w:firstColumn="1" w:firstRow="1" w:lastColumn="0" w:lastRow="0" w:noHBand="0" w:noVBand="1" w:val="04A0"/>
      </w:tblPr>
      <w:tblGrid>
        <w:gridCol w:w="3312"/>
        <w:gridCol w:w="3312"/>
        <w:gridCol w:w="3312"/>
      </w:tblGrid>
      <w:tr>
        <w:tc>
          <w:tcPr>
            <w:tcW w:type="dxa" w:w="3312"/>
            <w:shd w:fill="2E4D38"/>
            <w:tcMar>
              <w:top w:w="80" w:type="dxa"/>
              <w:bottom w:w="80" w:type="dxa"/>
              <w:left w:w="100" w:type="dxa"/>
              <w:right w:w="100" w:type="dxa"/>
            </w:tcMar>
          </w:tcPr>
          <w:p>
            <w:r>
              <w:rPr>
                <w:rFonts w:ascii="Calibri" w:hAnsi="Calibri"/>
                <w:b/>
                <w:color w:val="FFFFFF"/>
                <w:sz w:val="19"/>
              </w:rPr>
              <w:t>Direction</w:t>
            </w:r>
          </w:p>
        </w:tc>
        <w:tc>
          <w:tcPr>
            <w:tcW w:type="dxa" w:w="3312"/>
            <w:shd w:fill="2E4D38"/>
            <w:tcMar>
              <w:top w:w="80" w:type="dxa"/>
              <w:bottom w:w="80" w:type="dxa"/>
              <w:left w:w="100" w:type="dxa"/>
              <w:right w:w="100" w:type="dxa"/>
            </w:tcMar>
          </w:tcPr>
          <w:p>
            <w:r>
              <w:rPr>
                <w:rFonts w:ascii="Calibri" w:hAnsi="Calibri"/>
                <w:b/>
                <w:color w:val="FFFFFF"/>
                <w:sz w:val="19"/>
              </w:rPr>
              <w:t>Formula</w:t>
            </w:r>
          </w:p>
        </w:tc>
        <w:tc>
          <w:tcPr>
            <w:tcW w:type="dxa" w:w="3312"/>
            <w:shd w:fill="2E4D38"/>
            <w:tcMar>
              <w:top w:w="80" w:type="dxa"/>
              <w:bottom w:w="80" w:type="dxa"/>
              <w:left w:w="100" w:type="dxa"/>
              <w:right w:w="100" w:type="dxa"/>
            </w:tcMar>
          </w:tcPr>
          <w:p>
            <w:r>
              <w:rPr>
                <w:rFonts w:ascii="Calibri" w:hAnsi="Calibri"/>
                <w:b/>
                <w:color w:val="FFFFFF"/>
                <w:sz w:val="19"/>
              </w:rPr>
              <w:t>Purpose</w:t>
            </w:r>
          </w:p>
        </w:tc>
      </w:tr>
      <w:tr>
        <w:tc>
          <w:tcPr>
            <w:tcW w:type="dxa" w:w="3312"/>
            <w:shd w:fill="F9FAF9"/>
            <w:tcMar>
              <w:top w:w="70" w:type="dxa"/>
              <w:bottom w:w="70" w:type="dxa"/>
              <w:left w:w="90" w:type="dxa"/>
              <w:right w:w="90" w:type="dxa"/>
            </w:tcMar>
          </w:tcPr>
          <w:p>
            <w:pPr>
              <w:spacing w:after="40"/>
            </w:pPr>
            <w:r>
              <w:rPr>
                <w:rFonts w:ascii="Calibri" w:hAnsi="Calibri"/>
                <w:color w:val="1E293B"/>
                <w:sz w:val="18"/>
              </w:rPr>
              <w:t>Outbound (Backend -&gt; Frontend -&gt; PayHere)</w:t>
            </w:r>
          </w:p>
        </w:tc>
        <w:tc>
          <w:tcPr>
            <w:tcW w:type="dxa" w:w="3312"/>
            <w:shd w:fill="F9FAF9"/>
            <w:tcMar>
              <w:top w:w="70" w:type="dxa"/>
              <w:bottom w:w="70" w:type="dxa"/>
              <w:left w:w="90" w:type="dxa"/>
              <w:right w:w="90" w:type="dxa"/>
            </w:tcMar>
          </w:tcPr>
          <w:p>
            <w:pPr>
              <w:spacing w:after="40"/>
            </w:pPr>
            <w:r>
              <w:rPr>
                <w:rFonts w:ascii="Calibri" w:hAnsi="Calibri"/>
                <w:color w:val="1E293B"/>
                <w:sz w:val="18"/>
              </w:rPr>
              <w:t>MD5(merchant_id + order_id + amount + currency + MD5(merchant_secret))</w:t>
            </w:r>
          </w:p>
        </w:tc>
        <w:tc>
          <w:tcPr>
            <w:tcW w:type="dxa" w:w="3312"/>
            <w:shd w:fill="F9FAF9"/>
            <w:tcMar>
              <w:top w:w="70" w:type="dxa"/>
              <w:bottom w:w="70" w:type="dxa"/>
              <w:left w:w="90" w:type="dxa"/>
              <w:right w:w="90" w:type="dxa"/>
            </w:tcMar>
          </w:tcPr>
          <w:p>
            <w:pPr>
              <w:spacing w:after="40"/>
            </w:pPr>
            <w:r>
              <w:rPr>
                <w:rFonts w:ascii="Calibri" w:hAnsi="Calibri"/>
                <w:color w:val="1E293B"/>
                <w:sz w:val="18"/>
              </w:rPr>
              <w:t>Ensures neither the amount nor currency was modified by malicious frontend scripts before sending to PayHere.</w:t>
            </w:r>
          </w:p>
        </w:tc>
      </w:tr>
      <w:tr>
        <w:tc>
          <w:tcPr>
            <w:tcW w:type="dxa" w:w="3312"/>
            <w:shd w:fill="FFFFFF"/>
            <w:tcMar>
              <w:top w:w="70" w:type="dxa"/>
              <w:bottom w:w="70" w:type="dxa"/>
              <w:left w:w="90" w:type="dxa"/>
              <w:right w:w="90" w:type="dxa"/>
            </w:tcMar>
          </w:tcPr>
          <w:p>
            <w:pPr>
              <w:spacing w:after="40"/>
            </w:pPr>
            <w:r>
              <w:rPr>
                <w:rFonts w:ascii="Calibri" w:hAnsi="Calibri"/>
                <w:color w:val="1E293B"/>
                <w:sz w:val="18"/>
              </w:rPr>
              <w:t>Inbound IPN Webhook (PayHere -&gt; Backend Server)</w:t>
            </w:r>
          </w:p>
        </w:tc>
        <w:tc>
          <w:tcPr>
            <w:tcW w:type="dxa" w:w="3312"/>
            <w:shd w:fill="FFFFFF"/>
            <w:tcMar>
              <w:top w:w="70" w:type="dxa"/>
              <w:bottom w:w="70" w:type="dxa"/>
              <w:left w:w="90" w:type="dxa"/>
              <w:right w:w="90" w:type="dxa"/>
            </w:tcMar>
          </w:tcPr>
          <w:p>
            <w:pPr>
              <w:spacing w:after="40"/>
            </w:pPr>
            <w:r>
              <w:rPr>
                <w:rFonts w:ascii="Calibri" w:hAnsi="Calibri"/>
                <w:color w:val="1E293B"/>
                <w:sz w:val="18"/>
              </w:rPr>
              <w:t>MD5(merchant_id + order_id + payhere_amount + payhere_currency + status_code + MD5(merchant_secret))</w:t>
            </w:r>
          </w:p>
        </w:tc>
        <w:tc>
          <w:tcPr>
            <w:tcW w:type="dxa" w:w="3312"/>
            <w:shd w:fill="FFFFFF"/>
            <w:tcMar>
              <w:top w:w="70" w:type="dxa"/>
              <w:bottom w:w="70" w:type="dxa"/>
              <w:left w:w="90" w:type="dxa"/>
              <w:right w:w="90" w:type="dxa"/>
            </w:tcMar>
          </w:tcPr>
          <w:p>
            <w:pPr>
              <w:spacing w:after="40"/>
            </w:pPr>
            <w:r>
              <w:rPr>
                <w:rFonts w:ascii="Calibri" w:hAnsi="Calibri"/>
                <w:color w:val="1E293B"/>
                <w:sz w:val="18"/>
              </w:rPr>
              <w:t>Validates that the notification originated legitimately from PayHere and was not fabricated by an attacker.</w:t>
            </w:r>
          </w:p>
        </w:tc>
      </w:tr>
    </w:tbl>
    <w:p>
      <w:pPr>
        <w:spacing w:after="200"/>
      </w:pPr>
    </w:p>
    <w:p>
      <w:pPr>
        <w:pStyle w:val="Heading1"/>
        <w:spacing w:before="280" w:after="120"/>
      </w:pPr>
      <w:r>
        <w:rPr>
          <w:rFonts w:ascii="Calibri" w:hAnsi="Calibri"/>
          <w:color w:val="2E4D38"/>
        </w:rPr>
        <w:t>4. PayHere Status Codes &amp; Handling Rules</w:t>
      </w:r>
    </w:p>
    <w:tbl>
      <w:tblPr>
        <w:tblW w:type="auto" w:w="0"/>
        <w:jc w:val="center"/>
        <w:tblLook w:firstColumn="1" w:firstRow="1" w:lastColumn="0" w:lastRow="0" w:noHBand="0" w:noVBand="1" w:val="04A0"/>
      </w:tblPr>
      <w:tblGrid>
        <w:gridCol w:w="3312"/>
        <w:gridCol w:w="3312"/>
        <w:gridCol w:w="3312"/>
      </w:tblGrid>
      <w:tr>
        <w:tc>
          <w:tcPr>
            <w:tcW w:type="dxa" w:w="3312"/>
            <w:shd w:fill="2E4D38"/>
            <w:tcMar>
              <w:top w:w="80" w:type="dxa"/>
              <w:bottom w:w="80" w:type="dxa"/>
              <w:left w:w="100" w:type="dxa"/>
              <w:right w:w="100" w:type="dxa"/>
            </w:tcMar>
          </w:tcPr>
          <w:p>
            <w:r>
              <w:rPr>
                <w:rFonts w:ascii="Calibri" w:hAnsi="Calibri"/>
                <w:b/>
                <w:color w:val="FFFFFF"/>
                <w:sz w:val="19"/>
              </w:rPr>
              <w:t>status_code</w:t>
            </w:r>
          </w:p>
        </w:tc>
        <w:tc>
          <w:tcPr>
            <w:tcW w:type="dxa" w:w="3312"/>
            <w:shd w:fill="2E4D38"/>
            <w:tcMar>
              <w:top w:w="80" w:type="dxa"/>
              <w:bottom w:w="80" w:type="dxa"/>
              <w:left w:w="100" w:type="dxa"/>
              <w:right w:w="100" w:type="dxa"/>
            </w:tcMar>
          </w:tcPr>
          <w:p>
            <w:r>
              <w:rPr>
                <w:rFonts w:ascii="Calibri" w:hAnsi="Calibri"/>
                <w:b/>
                <w:color w:val="FFFFFF"/>
                <w:sz w:val="19"/>
              </w:rPr>
              <w:t>Meaning</w:t>
            </w:r>
          </w:p>
        </w:tc>
        <w:tc>
          <w:tcPr>
            <w:tcW w:type="dxa" w:w="3312"/>
            <w:shd w:fill="2E4D38"/>
            <w:tcMar>
              <w:top w:w="80" w:type="dxa"/>
              <w:bottom w:w="80" w:type="dxa"/>
              <w:left w:w="100" w:type="dxa"/>
              <w:right w:w="100" w:type="dxa"/>
            </w:tcMar>
          </w:tcPr>
          <w:p>
            <w:r>
              <w:rPr>
                <w:rFonts w:ascii="Calibri" w:hAnsi="Calibri"/>
                <w:b/>
                <w:color w:val="FFFFFF"/>
                <w:sz w:val="19"/>
              </w:rPr>
              <w:t>Arboveya System Action</w:t>
            </w:r>
          </w:p>
        </w:tc>
      </w:tr>
      <w:tr>
        <w:tc>
          <w:tcPr>
            <w:tcW w:type="dxa" w:w="3312"/>
            <w:shd w:fill="F9FAF9"/>
            <w:tcMar>
              <w:top w:w="70" w:type="dxa"/>
              <w:bottom w:w="70" w:type="dxa"/>
              <w:left w:w="90" w:type="dxa"/>
              <w:right w:w="90" w:type="dxa"/>
            </w:tcMar>
          </w:tcPr>
          <w:p>
            <w:r>
              <w:rPr>
                <w:rFonts w:ascii="Calibri" w:hAnsi="Calibri"/>
                <w:b/>
                <w:color w:val="1E293B"/>
                <w:sz w:val="18"/>
              </w:rPr>
              <w:t>2</w:t>
            </w:r>
          </w:p>
        </w:tc>
        <w:tc>
          <w:tcPr>
            <w:tcW w:type="dxa" w:w="3312"/>
            <w:shd w:fill="F9FAF9"/>
            <w:tcMar>
              <w:top w:w="70" w:type="dxa"/>
              <w:bottom w:w="70" w:type="dxa"/>
              <w:left w:w="90" w:type="dxa"/>
              <w:right w:w="90" w:type="dxa"/>
            </w:tcMar>
          </w:tcPr>
          <w:p>
            <w:r>
              <w:rPr>
                <w:rFonts w:ascii="Calibri" w:hAnsi="Calibri"/>
                <w:color w:val="1E293B"/>
                <w:sz w:val="18"/>
              </w:rPr>
              <w:t>SUCCESS (Authorized &amp; Captured)</w:t>
            </w:r>
          </w:p>
        </w:tc>
        <w:tc>
          <w:tcPr>
            <w:tcW w:type="dxa" w:w="3312"/>
            <w:shd w:fill="F9FAF9"/>
            <w:tcMar>
              <w:top w:w="70" w:type="dxa"/>
              <w:bottom w:w="70" w:type="dxa"/>
              <w:left w:w="90" w:type="dxa"/>
              <w:right w:w="90" w:type="dxa"/>
            </w:tcMar>
          </w:tcPr>
          <w:p>
            <w:r>
              <w:rPr>
                <w:rFonts w:ascii="Calibri" w:hAnsi="Calibri"/>
                <w:color w:val="1E293B"/>
                <w:sz w:val="18"/>
              </w:rPr>
              <w:t>Update Order PaymentStatus = 'Paid', OrderStatus = 'Processing'. Send customer confirmation email.</w:t>
            </w:r>
          </w:p>
        </w:tc>
      </w:tr>
      <w:tr>
        <w:tc>
          <w:tcPr>
            <w:tcW w:type="dxa" w:w="3312"/>
            <w:shd w:fill="FFFFFF"/>
            <w:tcMar>
              <w:top w:w="70" w:type="dxa"/>
              <w:bottom w:w="70" w:type="dxa"/>
              <w:left w:w="90" w:type="dxa"/>
              <w:right w:w="90" w:type="dxa"/>
            </w:tcMar>
          </w:tcPr>
          <w:p>
            <w:r>
              <w:rPr>
                <w:rFonts w:ascii="Calibri" w:hAnsi="Calibri"/>
                <w:b/>
                <w:color w:val="1E293B"/>
                <w:sz w:val="18"/>
              </w:rPr>
              <w:t>0</w:t>
            </w:r>
          </w:p>
        </w:tc>
        <w:tc>
          <w:tcPr>
            <w:tcW w:type="dxa" w:w="3312"/>
            <w:shd w:fill="FFFFFF"/>
            <w:tcMar>
              <w:top w:w="70" w:type="dxa"/>
              <w:bottom w:w="70" w:type="dxa"/>
              <w:left w:w="90" w:type="dxa"/>
              <w:right w:w="90" w:type="dxa"/>
            </w:tcMar>
          </w:tcPr>
          <w:p>
            <w:r>
              <w:rPr>
                <w:rFonts w:ascii="Calibri" w:hAnsi="Calibri"/>
                <w:color w:val="1E293B"/>
                <w:sz w:val="18"/>
              </w:rPr>
              <w:t>PENDING (Offline / Bank Transfer)</w:t>
            </w:r>
          </w:p>
        </w:tc>
        <w:tc>
          <w:tcPr>
            <w:tcW w:type="dxa" w:w="3312"/>
            <w:shd w:fill="FFFFFF"/>
            <w:tcMar>
              <w:top w:w="70" w:type="dxa"/>
              <w:bottom w:w="70" w:type="dxa"/>
              <w:left w:w="90" w:type="dxa"/>
              <w:right w:w="90" w:type="dxa"/>
            </w:tcMar>
          </w:tcPr>
          <w:p>
            <w:r>
              <w:rPr>
                <w:rFonts w:ascii="Calibri" w:hAnsi="Calibri"/>
                <w:color w:val="1E293B"/>
                <w:sz w:val="18"/>
              </w:rPr>
              <w:t>Keep PaymentStatus = 'Pending'. Await subsequent clearance notification from bank.</w:t>
            </w:r>
          </w:p>
        </w:tc>
      </w:tr>
      <w:tr>
        <w:tc>
          <w:tcPr>
            <w:tcW w:type="dxa" w:w="3312"/>
            <w:shd w:fill="F9FAF9"/>
            <w:tcMar>
              <w:top w:w="70" w:type="dxa"/>
              <w:bottom w:w="70" w:type="dxa"/>
              <w:left w:w="90" w:type="dxa"/>
              <w:right w:w="90" w:type="dxa"/>
            </w:tcMar>
          </w:tcPr>
          <w:p>
            <w:r>
              <w:rPr>
                <w:rFonts w:ascii="Calibri" w:hAnsi="Calibri"/>
                <w:b/>
                <w:color w:val="1E293B"/>
                <w:sz w:val="18"/>
              </w:rPr>
              <w:t>-1</w:t>
            </w:r>
          </w:p>
        </w:tc>
        <w:tc>
          <w:tcPr>
            <w:tcW w:type="dxa" w:w="3312"/>
            <w:shd w:fill="F9FAF9"/>
            <w:tcMar>
              <w:top w:w="70" w:type="dxa"/>
              <w:bottom w:w="70" w:type="dxa"/>
              <w:left w:w="90" w:type="dxa"/>
              <w:right w:w="90" w:type="dxa"/>
            </w:tcMar>
          </w:tcPr>
          <w:p>
            <w:r>
              <w:rPr>
                <w:rFonts w:ascii="Calibri" w:hAnsi="Calibri"/>
                <w:color w:val="1E293B"/>
                <w:sz w:val="18"/>
              </w:rPr>
              <w:t>CANCELED (Customer abandoned flow)</w:t>
            </w:r>
          </w:p>
        </w:tc>
        <w:tc>
          <w:tcPr>
            <w:tcW w:type="dxa" w:w="3312"/>
            <w:shd w:fill="F9FAF9"/>
            <w:tcMar>
              <w:top w:w="70" w:type="dxa"/>
              <w:bottom w:w="70" w:type="dxa"/>
              <w:left w:w="90" w:type="dxa"/>
              <w:right w:w="90" w:type="dxa"/>
            </w:tcMar>
          </w:tcPr>
          <w:p>
            <w:r>
              <w:rPr>
                <w:rFonts w:ascii="Calibri" w:hAnsi="Calibri"/>
                <w:color w:val="1E293B"/>
                <w:sz w:val="18"/>
              </w:rPr>
              <w:t>Mark Order PaymentStatus = 'Canceled'. Re-credit deducted product stock quantities to inventory.</w:t>
            </w:r>
          </w:p>
        </w:tc>
      </w:tr>
      <w:tr>
        <w:tc>
          <w:tcPr>
            <w:tcW w:type="dxa" w:w="3312"/>
            <w:shd w:fill="FFFFFF"/>
            <w:tcMar>
              <w:top w:w="70" w:type="dxa"/>
              <w:bottom w:w="70" w:type="dxa"/>
              <w:left w:w="90" w:type="dxa"/>
              <w:right w:w="90" w:type="dxa"/>
            </w:tcMar>
          </w:tcPr>
          <w:p>
            <w:r>
              <w:rPr>
                <w:rFonts w:ascii="Calibri" w:hAnsi="Calibri"/>
                <w:b/>
                <w:color w:val="1E293B"/>
                <w:sz w:val="18"/>
              </w:rPr>
              <w:t>-2</w:t>
            </w:r>
          </w:p>
        </w:tc>
        <w:tc>
          <w:tcPr>
            <w:tcW w:type="dxa" w:w="3312"/>
            <w:shd w:fill="FFFFFF"/>
            <w:tcMar>
              <w:top w:w="70" w:type="dxa"/>
              <w:bottom w:w="70" w:type="dxa"/>
              <w:left w:w="90" w:type="dxa"/>
              <w:right w:w="90" w:type="dxa"/>
            </w:tcMar>
          </w:tcPr>
          <w:p>
            <w:r>
              <w:rPr>
                <w:rFonts w:ascii="Calibri" w:hAnsi="Calibri"/>
                <w:color w:val="1E293B"/>
                <w:sz w:val="18"/>
              </w:rPr>
              <w:t>FAILED (Declined, Insufficient funds)</w:t>
            </w:r>
          </w:p>
        </w:tc>
        <w:tc>
          <w:tcPr>
            <w:tcW w:type="dxa" w:w="3312"/>
            <w:shd w:fill="FFFFFF"/>
            <w:tcMar>
              <w:top w:w="70" w:type="dxa"/>
              <w:bottom w:w="70" w:type="dxa"/>
              <w:left w:w="90" w:type="dxa"/>
              <w:right w:w="90" w:type="dxa"/>
            </w:tcMar>
          </w:tcPr>
          <w:p>
            <w:r>
              <w:rPr>
                <w:rFonts w:ascii="Calibri" w:hAnsi="Calibri"/>
                <w:color w:val="1E293B"/>
                <w:sz w:val="18"/>
              </w:rPr>
              <w:t>Mark Order PaymentStatus = 'Failed'. Re-credit deducted product stock quantities to inventory.</w:t>
            </w:r>
          </w:p>
        </w:tc>
      </w:tr>
      <w:tr>
        <w:tc>
          <w:tcPr>
            <w:tcW w:type="dxa" w:w="3312"/>
            <w:shd w:fill="F9FAF9"/>
            <w:tcMar>
              <w:top w:w="70" w:type="dxa"/>
              <w:bottom w:w="70" w:type="dxa"/>
              <w:left w:w="90" w:type="dxa"/>
              <w:right w:w="90" w:type="dxa"/>
            </w:tcMar>
          </w:tcPr>
          <w:p>
            <w:r>
              <w:rPr>
                <w:rFonts w:ascii="Calibri" w:hAnsi="Calibri"/>
                <w:b/>
                <w:color w:val="1E293B"/>
                <w:sz w:val="18"/>
              </w:rPr>
              <w:t>-3</w:t>
            </w:r>
          </w:p>
        </w:tc>
        <w:tc>
          <w:tcPr>
            <w:tcW w:type="dxa" w:w="3312"/>
            <w:shd w:fill="F9FAF9"/>
            <w:tcMar>
              <w:top w:w="70" w:type="dxa"/>
              <w:bottom w:w="70" w:type="dxa"/>
              <w:left w:w="90" w:type="dxa"/>
              <w:right w:w="90" w:type="dxa"/>
            </w:tcMar>
          </w:tcPr>
          <w:p>
            <w:r>
              <w:rPr>
                <w:rFonts w:ascii="Calibri" w:hAnsi="Calibri"/>
                <w:color w:val="1E293B"/>
                <w:sz w:val="18"/>
              </w:rPr>
              <w:t>CHARGEDBACK (Bank disputed charge)</w:t>
            </w:r>
          </w:p>
        </w:tc>
        <w:tc>
          <w:tcPr>
            <w:tcW w:type="dxa" w:w="3312"/>
            <w:shd w:fill="F9FAF9"/>
            <w:tcMar>
              <w:top w:w="70" w:type="dxa"/>
              <w:bottom w:w="70" w:type="dxa"/>
              <w:left w:w="90" w:type="dxa"/>
              <w:right w:w="90" w:type="dxa"/>
            </w:tcMar>
          </w:tcPr>
          <w:p>
            <w:r>
              <w:rPr>
                <w:rFonts w:ascii="Calibri" w:hAnsi="Calibri"/>
                <w:color w:val="1E293B"/>
                <w:sz w:val="18"/>
              </w:rPr>
              <w:t>Mark Order PaymentStatus = 'Refunded' or 'Disputed'. Alert admin team for manual review.</w:t>
            </w:r>
          </w:p>
        </w:tc>
      </w:tr>
    </w:tbl>
    <w:p>
      <w:pPr>
        <w:spacing w:after="200"/>
      </w:pPr>
    </w:p>
    <w:p>
      <w:pPr>
        <w:pStyle w:val="Heading1"/>
        <w:spacing w:before="280" w:after="120"/>
      </w:pPr>
      <w:r>
        <w:rPr>
          <w:rFonts w:ascii="Calibri" w:hAnsi="Calibri"/>
          <w:color w:val="2E4D38"/>
        </w:rPr>
        <w:t>5. Configuration &amp; Environment Setup</w:t>
      </w:r>
    </w:p>
    <w:p>
      <w:pPr>
        <w:spacing w:line="276" w:lineRule="auto" w:after="120"/>
      </w:pPr>
      <w:r>
        <w:t>To switch between PayHere Sandbox (testing) and Live (production), set the following keys in backend/appsettings.json or environment variables:</w:t>
      </w:r>
    </w:p>
    <w:p>
      <w:pPr>
        <w:spacing w:before="80" w:after="160"/>
      </w:pPr>
      <w:r>
        <w:rPr>
          <w:rFonts w:ascii="Courier New" w:hAnsi="Courier New"/>
          <w:color w:val="2E4D38"/>
          <w:sz w:val="18"/>
        </w:rPr>
        <w:t>{</w:t>
        <w:br/>
        <w:t xml:space="preserve">  "PayHere": {</w:t>
        <w:br/>
        <w:t xml:space="preserve">    "MerchantId": "YOUR_MERCHANT_ID",</w:t>
        <w:br/>
        <w:t xml:space="preserve">    "MerchantSecret": "YOUR_MERCHANT_SECRET",</w:t>
        <w:br/>
        <w:t xml:space="preserve">    "IsSandbox": true,</w:t>
        <w:br/>
        <w:t xml:space="preserve">    "NotifyUrl": "https://api.arboveya.com/api/payments/payhere-notify",</w:t>
        <w:br/>
        <w:t xml:space="preserve">    "ReturnUrl": "https://arboveya.com/order-success",</w:t>
        <w:br/>
        <w:t xml:space="preserve">    "CancelUrl": "https://arboveya.com/checkout"</w:t>
        <w:br/>
        <w:t xml:space="preserve">  }</w:t>
        <w:br/>
        <w:t>}</w:t>
      </w:r>
    </w:p>
    <w:p>
      <w:pPr>
        <w:spacing w:before="320"/>
      </w:pPr>
      <w:r>
        <w:rPr>
          <w:rFonts w:ascii="Calibri" w:hAnsi="Calibri"/>
          <w:i/>
          <w:color w:val="64748B"/>
          <w:sz w:val="17"/>
        </w:rPr>
        <w:t>Document generated for Arboveya E-Commerce Platform. All rights reserved.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