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AFBF6" w14:textId="77777777" w:rsidR="00B124DB" w:rsidRPr="007B73B6" w:rsidRDefault="00B124DB" w:rsidP="00B124DB">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77777777" w:rsidR="00237D62" w:rsidRPr="007B73B6" w:rsidRDefault="00237D62" w:rsidP="00237D62">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 xml:space="preserve">We based the calculations on a fleet consisting of the same number of vessels as held permits for the fishery in the baseline “medium access” scenario (Table 3, described in “Scenarios” section). </w:t>
      </w:r>
      <w:r w:rsidR="006621EB" w:rsidRPr="007B73B6">
        <w:rPr>
          <w:rFonts w:ascii="Times New Roman" w:hAnsi="Times New Roman" w:cs="Times New Roman"/>
          <w:sz w:val="24"/>
          <w:szCs w:val="24"/>
        </w:rPr>
        <w:t>We considered a marginal fisher to have a weekly variable cost at the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than randomly simulate</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vessel 2 at the 2/(number of vessels+1) quantile, etc. We used a denominator of number of vessels+1 rather than the number of vessels to avoid having a vessel at the 0</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or 100</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distribution. </w:t>
      </w:r>
    </w:p>
    <w:p w14:paraId="6D514694" w14:textId="699C5704" w:rsidR="007C5107" w:rsidRPr="007B73B6" w:rsidRDefault="00237D62" w:rsidP="00237D62">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r w:rsidR="00B124DB" w:rsidRPr="007B73B6">
        <w:rPr>
          <w:rFonts w:ascii="Times New Roman" w:eastAsiaTheme="minorEastAsia" w:hAnsi="Times New Roman" w:cs="Times New Roman"/>
          <w:sz w:val="24"/>
          <w:szCs w:val="24"/>
        </w:rPr>
        <w:t>% of total costs are variable for crab, 89% for salmon) and acceptable patterns of depletion over the year (</w:t>
      </w:r>
      <w:r w:rsidR="007B207D">
        <w:rPr>
          <w:rFonts w:ascii="Times New Roman" w:eastAsiaTheme="minorEastAsia" w:hAnsi="Times New Roman" w:cs="Times New Roman"/>
          <w:sz w:val="24"/>
          <w:szCs w:val="24"/>
        </w:rPr>
        <w:t>Fig. 6, center column</w:t>
      </w:r>
      <w:bookmarkStart w:id="0" w:name="_GoBack"/>
      <w:bookmarkEnd w:id="0"/>
      <w:r w:rsidR="00B124DB" w:rsidRPr="007B73B6">
        <w:rPr>
          <w:rFonts w:ascii="Times New Roman" w:eastAsiaTheme="minorEastAsia" w:hAnsi="Times New Roman" w:cs="Times New Roman"/>
          <w:sz w:val="24"/>
          <w:szCs w:val="24"/>
        </w:rPr>
        <w:t xml:space="preserve">).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w:t>
      </w:r>
      <w:r w:rsidR="009A7233" w:rsidRPr="007B73B6">
        <w:rPr>
          <w:rFonts w:ascii="Times New Roman" w:eastAsiaTheme="minorEastAsia" w:hAnsi="Times New Roman" w:cs="Times New Roman"/>
          <w:sz w:val="24"/>
          <w:szCs w:val="24"/>
        </w:rPr>
        <w:t>.</w:t>
      </w:r>
      <w:r w:rsidR="008B7805" w:rsidRPr="007B73B6">
        <w:rPr>
          <w:rFonts w:ascii="Times New Roman" w:eastAsiaTheme="minorEastAsia" w:hAnsi="Times New Roman" w:cs="Times New Roman"/>
          <w:sz w:val="24"/>
          <w:szCs w:val="24"/>
        </w:rPr>
        <w:t xml:space="preserve"> When results are universal across all fisheries and fishing portfolios, this diversity of fisheries provides support that the phenomenon is general. When results are not universal, modeling allows us to clearly </w:t>
      </w:r>
      <w:r w:rsidR="00EE6682" w:rsidRPr="007B73B6">
        <w:rPr>
          <w:rFonts w:ascii="Times New Roman" w:eastAsiaTheme="minorEastAsia" w:hAnsi="Times New Roman" w:cs="Times New Roman"/>
          <w:sz w:val="24"/>
          <w:szCs w:val="24"/>
        </w:rPr>
        <w:t>disen</w:t>
      </w:r>
      <w:r w:rsidR="008B7805" w:rsidRPr="007B73B6">
        <w:rPr>
          <w:rFonts w:ascii="Times New Roman" w:eastAsiaTheme="minorEastAsia" w:hAnsi="Times New Roman" w:cs="Times New Roman"/>
          <w:sz w:val="24"/>
          <w:szCs w:val="24"/>
        </w:rPr>
        <w:t>tangle mechanisms and determine which assumptions drive the phenomenon.</w:t>
      </w:r>
    </w:p>
    <w:p w14:paraId="64B778F3" w14:textId="098CE78A" w:rsidR="00CC132C" w:rsidRPr="007B73B6" w:rsidRDefault="00B124DB" w:rsidP="00BE06DB">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BE06DB" w:rsidRPr="007B73B6">
        <w:rPr>
          <w:rFonts w:ascii="Times New Roman" w:eastAsiaTheme="minorEastAsia" w:hAnsi="Times New Roman" w:cs="Times New Roman"/>
          <w:sz w:val="24"/>
          <w:szCs w:val="24"/>
        </w:rPr>
        <w:t xml:space="preserve"> catchability. Then, we manually tuned the variable cost and solved for the fixed cost until we achieved an acceptable annual ratio of variable to fixed costs. We set catchability</w:t>
      </w:r>
      <w:r w:rsidRPr="007B73B6">
        <w:rPr>
          <w:rFonts w:ascii="Times New Roman" w:eastAsiaTheme="minorEastAsia" w:hAnsi="Times New Roman" w:cs="Times New Roman"/>
          <w:sz w:val="24"/>
          <w:szCs w:val="24"/>
        </w:rPr>
        <w:t xml:space="preserve"> so that </w:t>
      </w:r>
      <w:r w:rsidRPr="007B73B6">
        <w:rPr>
          <w:rFonts w:ascii="Times New Roman" w:eastAsiaTheme="minorEastAsia" w:hAnsi="Times New Roman" w:cs="Times New Roman"/>
          <w:sz w:val="24"/>
          <w:szCs w:val="24"/>
        </w:rPr>
        <w:lastRenderedPageBreak/>
        <w:t xml:space="preserve">total yield is equal to the yield that leads the population to equilibrate at 40% of the unfished biomass (the actual management target for </w:t>
      </w:r>
      <w:r w:rsidR="009C140F" w:rsidRPr="007B73B6">
        <w:rPr>
          <w:rFonts w:ascii="Times New Roman" w:eastAsiaTheme="minorEastAsia" w:hAnsi="Times New Roman" w:cs="Times New Roman"/>
          <w:sz w:val="24"/>
          <w:szCs w:val="24"/>
        </w:rPr>
        <w:t xml:space="preserve">most </w:t>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west coast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same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EB7AC9" w:rsidP="00BE06DB">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)*40</m:t>
          </m:r>
          <m:r>
            <m:rPr>
              <m:sty m:val="p"/>
            </m:rPr>
            <w:rPr>
              <w:rFonts w:ascii="Cambria Math" w:eastAsiaTheme="minorEastAsia" w:hAnsi="Cambria Math" w:cs="Times New Roman"/>
              <w:sz w:val="24"/>
              <w:szCs w:val="24"/>
            </w:rPr>
            <w:softHyphen/>
          </m:r>
        </m:oMath>
      </m:oMathPara>
    </w:p>
    <w:p w14:paraId="480EABD7" w14:textId="6789AB20" w:rsidR="005614A4" w:rsidRPr="007B73B6" w:rsidRDefault="0040538A" w:rsidP="00062490">
      <w:pPr>
        <w:spacing w:after="0" w:line="480" w:lineRule="auto"/>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In the above equation, the first term is the revenue</w:t>
      </w:r>
      <w:r w:rsidR="00F01AA7">
        <w:rPr>
          <w:rFonts w:ascii="Times New Roman" w:eastAsiaTheme="minorEastAsia" w:hAnsi="Times New Roman" w:cs="Times New Roman"/>
          <w:sz w:val="24"/>
          <w:szCs w:val="24"/>
        </w:rPr>
        <w:t xml:space="preserve"> earned</w:t>
      </w:r>
      <w:r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p>
    <w:p w14:paraId="7AF1EF8E" w14:textId="06E5B185" w:rsidR="00B124DB" w:rsidRPr="007B73B6" w:rsidRDefault="005614A4" w:rsidP="005614A4">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complicated 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in the year. We calculated </w:t>
      </w:r>
      <w:r w:rsidR="00AE1716" w:rsidRPr="007B73B6">
        <w:rPr>
          <w:rFonts w:ascii="Times New Roman" w:eastAsiaTheme="minorEastAsia" w:hAnsi="Times New Roman" w:cs="Times New Roman"/>
          <w:sz w:val="24"/>
          <w:szCs w:val="24"/>
        </w:rPr>
        <w:t>per vessel revenue in 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w:t>
      </w:r>
      <w:r w:rsidR="00B124DB" w:rsidRPr="007B73B6">
        <w:rPr>
          <w:rFonts w:ascii="Times New Roman" w:eastAsiaTheme="minorEastAsia" w:hAnsi="Times New Roman" w:cs="Times New Roman"/>
          <w:sz w:val="24"/>
          <w:szCs w:val="24"/>
        </w:rPr>
        <w:lastRenderedPageBreak/>
        <w:t xml:space="preserve">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 xml:space="preserve">that included all three fisheries </w:t>
      </w:r>
      <w:r w:rsidR="00B124DB" w:rsidRPr="007B73B6">
        <w:rPr>
          <w:rFonts w:ascii="Times New Roman" w:eastAsiaTheme="minorEastAsia" w:hAnsi="Times New Roman" w:cs="Times New Roman"/>
          <w:sz w:val="24"/>
          <w:szCs w:val="24"/>
        </w:rPr>
        <w:t xml:space="preserve">(Fig. S1). </w:t>
      </w:r>
    </w:p>
    <w:p w14:paraId="2E802548" w14:textId="77777777" w:rsidR="00B124DB" w:rsidRPr="007B73B6" w:rsidRDefault="00B124DB" w:rsidP="00B124DB">
      <w:pPr>
        <w:spacing w:line="480" w:lineRule="auto"/>
        <w:rPr>
          <w:rFonts w:ascii="Times New Roman" w:hAnsi="Times New Roman" w:cs="Times New Roman"/>
          <w:sz w:val="24"/>
          <w:szCs w:val="24"/>
          <w:u w:val="single"/>
        </w:rPr>
      </w:pPr>
    </w:p>
    <w:p w14:paraId="296B800A" w14:textId="6C7AE883" w:rsidR="00380C48" w:rsidRPr="007B73B6" w:rsidRDefault="00FA0250">
      <w:pPr>
        <w:rPr>
          <w:rFonts w:ascii="Times New Roman" w:hAnsi="Times New Roman" w:cs="Times New Roman"/>
          <w:sz w:val="24"/>
          <w:szCs w:val="24"/>
        </w:rPr>
      </w:pPr>
      <w:r>
        <w:rPr>
          <w:rFonts w:ascii="Times New Roman" w:hAnsi="Times New Roman" w:cs="Times New Roman"/>
          <w:sz w:val="24"/>
          <w:szCs w:val="24"/>
        </w:rPr>
        <w:pict w14:anchorId="33F87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5pt;height:401pt">
            <v:imagedata r:id="rId4" o:title="groundfish_check"/>
          </v:shape>
        </w:pict>
      </w:r>
    </w:p>
    <w:p w14:paraId="1C1BD7D3" w14:textId="74450461" w:rsidR="00961196" w:rsidRPr="007B73B6" w:rsidRDefault="00675A07">
      <w:pPr>
        <w:rPr>
          <w:rFonts w:ascii="Times New Roman" w:hAnsi="Times New Roman" w:cs="Times New Roman"/>
          <w:sz w:val="24"/>
          <w:szCs w:val="24"/>
        </w:rPr>
      </w:pPr>
      <w:r w:rsidRPr="007B73B6">
        <w:rPr>
          <w:rFonts w:ascii="Times New Roman" w:hAnsi="Times New Roman" w:cs="Times New Roman"/>
          <w:sz w:val="24"/>
          <w:szCs w:val="24"/>
        </w:rPr>
        <w:t xml:space="preserve">Fig. S1  Time series of week one biomass over 50 years for </w:t>
      </w:r>
      <w:r w:rsidR="00FA0250">
        <w:rPr>
          <w:rFonts w:ascii="Times New Roman" w:hAnsi="Times New Roman" w:cs="Times New Roman"/>
          <w:sz w:val="24"/>
          <w:szCs w:val="24"/>
        </w:rPr>
        <w:t>50</w:t>
      </w:r>
      <w:r w:rsidRPr="007B73B6">
        <w:rPr>
          <w:rFonts w:ascii="Times New Roman" w:hAnsi="Times New Roman" w:cs="Times New Roman"/>
          <w:sz w:val="24"/>
          <w:szCs w:val="24"/>
        </w:rPr>
        <w:t xml:space="preserve"> simulations in base</w:t>
      </w:r>
      <w:r w:rsidR="00961196" w:rsidRPr="007B73B6">
        <w:rPr>
          <w:rFonts w:ascii="Times New Roman" w:hAnsi="Times New Roman" w:cs="Times New Roman"/>
          <w:sz w:val="24"/>
          <w:szCs w:val="24"/>
        </w:rPr>
        <w:t>line</w:t>
      </w:r>
      <w:r w:rsidRPr="007B73B6">
        <w:rPr>
          <w:rFonts w:ascii="Times New Roman" w:hAnsi="Times New Roman" w:cs="Times New Roman"/>
          <w:sz w:val="24"/>
          <w:szCs w:val="24"/>
        </w:rPr>
        <w:t xml:space="preserve"> conditions. Red horizontal line is average biomass across all years in all simulations, blue line is GAM smoother showing biomass remains roughly stable on average. </w:t>
      </w:r>
      <w:r w:rsidR="00961196" w:rsidRPr="007B73B6">
        <w:rPr>
          <w:rFonts w:ascii="Times New Roman" w:hAnsi="Times New Roman" w:cs="Times New Roman"/>
          <w:sz w:val="24"/>
          <w:szCs w:val="24"/>
        </w:rPr>
        <w:br w:type="page"/>
      </w:r>
    </w:p>
    <w:p w14:paraId="2687BFDA" w14:textId="77777777" w:rsidR="00FA0250" w:rsidRDefault="00FA0250">
      <w:pPr>
        <w:rPr>
          <w:rFonts w:ascii="Times New Roman" w:hAnsi="Times New Roman" w:cs="Times New Roman"/>
          <w:sz w:val="24"/>
          <w:szCs w:val="24"/>
        </w:rPr>
      </w:pPr>
      <w:r>
        <w:rPr>
          <w:rFonts w:ascii="Times New Roman" w:hAnsi="Times New Roman" w:cs="Times New Roman"/>
          <w:sz w:val="24"/>
          <w:szCs w:val="24"/>
        </w:rPr>
        <w:lastRenderedPageBreak/>
        <w:pict w14:anchorId="4CF9D664">
          <v:shape id="_x0000_i1028" type="#_x0000_t75" style="width:5in;height:4in">
            <v:imagedata r:id="rId5" o:title="sync_access_spp"/>
          </v:shape>
        </w:pict>
      </w:r>
    </w:p>
    <w:p w14:paraId="1B7A8849" w14:textId="624CC3B7" w:rsidR="00EC1429" w:rsidRPr="007B73B6" w:rsidRDefault="00EC1429">
      <w:pPr>
        <w:rPr>
          <w:rFonts w:ascii="Times New Roman" w:hAnsi="Times New Roman" w:cs="Times New Roman"/>
          <w:sz w:val="24"/>
          <w:szCs w:val="24"/>
        </w:rPr>
      </w:pPr>
      <w:r w:rsidRPr="007B73B6">
        <w:rPr>
          <w:rFonts w:ascii="Times New Roman" w:hAnsi="Times New Roman" w:cs="Times New Roman"/>
          <w:sz w:val="24"/>
          <w:szCs w:val="24"/>
        </w:rPr>
        <w:t xml:space="preserve">Fig. S2  Distribution of mean and coefficient of variation of revenue for each species under different synchrony and access scenarios. </w:t>
      </w:r>
    </w:p>
    <w:p w14:paraId="46CB1E94" w14:textId="77777777" w:rsidR="00961196" w:rsidRPr="007B73B6" w:rsidRDefault="00961196">
      <w:pPr>
        <w:rPr>
          <w:rFonts w:ascii="Times New Roman" w:hAnsi="Times New Roman" w:cs="Times New Roman"/>
          <w:sz w:val="24"/>
          <w:szCs w:val="24"/>
        </w:rPr>
      </w:pPr>
      <w:r w:rsidRPr="007B73B6">
        <w:rPr>
          <w:rFonts w:ascii="Times New Roman" w:hAnsi="Times New Roman" w:cs="Times New Roman"/>
          <w:sz w:val="24"/>
          <w:szCs w:val="24"/>
        </w:rPr>
        <w:br w:type="page"/>
      </w:r>
    </w:p>
    <w:p w14:paraId="1593CFFA" w14:textId="1A1EC99F" w:rsidR="00EC1429" w:rsidRPr="007B73B6" w:rsidRDefault="00FA0250" w:rsidP="00FA0250">
      <w:pPr>
        <w:rPr>
          <w:rFonts w:ascii="Times New Roman" w:hAnsi="Times New Roman" w:cs="Times New Roman"/>
          <w:sz w:val="24"/>
          <w:szCs w:val="24"/>
        </w:rPr>
      </w:pPr>
      <w:r>
        <w:rPr>
          <w:rFonts w:ascii="Times New Roman" w:hAnsi="Times New Roman" w:cs="Times New Roman"/>
          <w:sz w:val="24"/>
          <w:szCs w:val="24"/>
        </w:rPr>
        <w:lastRenderedPageBreak/>
        <w:pict w14:anchorId="2C2F7F5A">
          <v:shape id="_x0000_i1029" type="#_x0000_t75" style="width:467.5pt;height:267.5pt">
            <v:imagedata r:id="rId6" o:title="sync_access_individuals"/>
          </v:shape>
        </w:pict>
      </w:r>
      <w:r w:rsidR="00EC1429" w:rsidRPr="007B73B6">
        <w:rPr>
          <w:rFonts w:ascii="Times New Roman" w:hAnsi="Times New Roman" w:cs="Times New Roman"/>
          <w:sz w:val="24"/>
          <w:szCs w:val="24"/>
        </w:rPr>
        <w:t xml:space="preserve">Fig. S3  Distribution of mean and coefficient of variation for individual vessels holding six possible permit portfolios under different synchrony scenarios. </w:t>
      </w:r>
      <w:r w:rsidRPr="00FA0250">
        <w:rPr>
          <w:rFonts w:ascii="Times New Roman" w:hAnsi="Times New Roman" w:cs="Times New Roman"/>
          <w:sz w:val="24"/>
          <w:szCs w:val="24"/>
        </w:rPr>
        <w:t>Mean and CV are calculated over time for each vessel in each simulation, and then averaged across vessels within a simulation. Distributions show variability across simulations.</w:t>
      </w:r>
    </w:p>
    <w:sectPr w:rsidR="00EC1429" w:rsidRPr="007B7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62490"/>
    <w:rsid w:val="000737E6"/>
    <w:rsid w:val="000925AC"/>
    <w:rsid w:val="00136D35"/>
    <w:rsid w:val="00164444"/>
    <w:rsid w:val="00223C90"/>
    <w:rsid w:val="00237D62"/>
    <w:rsid w:val="002E2F7A"/>
    <w:rsid w:val="003048E1"/>
    <w:rsid w:val="00380C48"/>
    <w:rsid w:val="003E3000"/>
    <w:rsid w:val="003E7346"/>
    <w:rsid w:val="0040538A"/>
    <w:rsid w:val="005003D3"/>
    <w:rsid w:val="0055486B"/>
    <w:rsid w:val="005614A4"/>
    <w:rsid w:val="005A516B"/>
    <w:rsid w:val="00603238"/>
    <w:rsid w:val="00610D56"/>
    <w:rsid w:val="006621EB"/>
    <w:rsid w:val="00675A07"/>
    <w:rsid w:val="00760DC0"/>
    <w:rsid w:val="007B207D"/>
    <w:rsid w:val="007B73B6"/>
    <w:rsid w:val="007C5107"/>
    <w:rsid w:val="008B7805"/>
    <w:rsid w:val="008F64E4"/>
    <w:rsid w:val="009413C8"/>
    <w:rsid w:val="009521DC"/>
    <w:rsid w:val="00961196"/>
    <w:rsid w:val="00987D4A"/>
    <w:rsid w:val="00992716"/>
    <w:rsid w:val="009A7233"/>
    <w:rsid w:val="009C140F"/>
    <w:rsid w:val="009C782F"/>
    <w:rsid w:val="00A34DCA"/>
    <w:rsid w:val="00A514DD"/>
    <w:rsid w:val="00AE1716"/>
    <w:rsid w:val="00B06B0E"/>
    <w:rsid w:val="00B124DB"/>
    <w:rsid w:val="00B70809"/>
    <w:rsid w:val="00BE06DB"/>
    <w:rsid w:val="00CC132C"/>
    <w:rsid w:val="00DA6FA4"/>
    <w:rsid w:val="00E1249F"/>
    <w:rsid w:val="00EB7AC9"/>
    <w:rsid w:val="00EC1429"/>
    <w:rsid w:val="00EE6682"/>
    <w:rsid w:val="00F01AA7"/>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55D96C42-BA35-4970-9DFB-84CF22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5</Pages>
  <Words>648</Words>
  <Characters>4253</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3</cp:revision>
  <dcterms:created xsi:type="dcterms:W3CDTF">2020-03-18T21:31:00Z</dcterms:created>
  <dcterms:modified xsi:type="dcterms:W3CDTF">2020-05-04T19:16:00Z</dcterms:modified>
</cp:coreProperties>
</file>