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AFBF6" w14:textId="77777777" w:rsidR="00B124DB" w:rsidRPr="007B73B6" w:rsidRDefault="00B124DB" w:rsidP="00D55998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B73B6">
        <w:rPr>
          <w:rFonts w:ascii="Times New Roman" w:hAnsi="Times New Roman" w:cs="Times New Roman"/>
          <w:sz w:val="24"/>
          <w:szCs w:val="24"/>
          <w:u w:val="single"/>
        </w:rPr>
        <w:t>Tuning fishery parameters</w:t>
      </w:r>
    </w:p>
    <w:p w14:paraId="6EB7B0C4" w14:textId="0EE36077" w:rsidR="00237D62" w:rsidRDefault="00BA49CC" w:rsidP="00D559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A49CC">
        <w:rPr>
          <w:rFonts w:ascii="Times New Roman" w:hAnsi="Times New Roman" w:cs="Times New Roman"/>
          <w:sz w:val="24"/>
          <w:szCs w:val="24"/>
        </w:rPr>
        <w:t xml:space="preserve">We parameterized fixed costs, variable costs, and catchability to ensure </w:t>
      </w:r>
      <w:r w:rsidRPr="00BA49CC">
        <w:rPr>
          <w:rFonts w:ascii="Times New Roman" w:hAnsi="Times New Roman" w:cs="Times New Roman"/>
          <w:sz w:val="24"/>
          <w:szCs w:val="24"/>
        </w:rPr>
        <w:t xml:space="preserve">total costs in a year with average recruitment </w:t>
      </w:r>
      <w:r>
        <w:rPr>
          <w:rFonts w:ascii="Times New Roman" w:hAnsi="Times New Roman" w:cs="Times New Roman"/>
          <w:sz w:val="24"/>
          <w:szCs w:val="24"/>
        </w:rPr>
        <w:t xml:space="preserve">would be </w:t>
      </w:r>
      <w:r w:rsidRPr="00BA49CC">
        <w:rPr>
          <w:rFonts w:ascii="Times New Roman" w:hAnsi="Times New Roman" w:cs="Times New Roman"/>
          <w:sz w:val="24"/>
          <w:szCs w:val="24"/>
        </w:rPr>
        <w:t>equal to total revenue for a marginal fisher who might be considering entry into the fishery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</w:t>
      </w:r>
      <w:r w:rsidR="00237D62" w:rsidRPr="007B73B6">
        <w:rPr>
          <w:rFonts w:ascii="Times New Roman" w:hAnsi="Times New Roman" w:cs="Times New Roman"/>
          <w:sz w:val="24"/>
          <w:szCs w:val="24"/>
        </w:rPr>
        <w:t xml:space="preserve">We based the calculations on a fleet consisting of the same number of vessels as held permits for the fishery in the baseline “medium access” scenario (Table 3, described in “Scenarios” section). </w:t>
      </w:r>
      <w:r w:rsidR="006621EB" w:rsidRPr="007B73B6">
        <w:rPr>
          <w:rFonts w:ascii="Times New Roman" w:hAnsi="Times New Roman" w:cs="Times New Roman"/>
          <w:sz w:val="24"/>
          <w:szCs w:val="24"/>
        </w:rPr>
        <w:t>We considered a</w:t>
      </w:r>
      <w:r w:rsidR="00D55998">
        <w:rPr>
          <w:rFonts w:ascii="Times New Roman" w:hAnsi="Times New Roman" w:cs="Times New Roman"/>
          <w:sz w:val="24"/>
          <w:szCs w:val="24"/>
        </w:rPr>
        <w:t>n inefficient</w:t>
      </w:r>
      <w:r w:rsidR="006621EB" w:rsidRPr="007B73B6">
        <w:rPr>
          <w:rFonts w:ascii="Times New Roman" w:hAnsi="Times New Roman" w:cs="Times New Roman"/>
          <w:sz w:val="24"/>
          <w:szCs w:val="24"/>
        </w:rPr>
        <w:t xml:space="preserve"> marginal </w:t>
      </w:r>
      <w:r w:rsidR="009E07B4">
        <w:rPr>
          <w:rFonts w:ascii="Times New Roman" w:hAnsi="Times New Roman" w:cs="Times New Roman"/>
          <w:sz w:val="24"/>
          <w:szCs w:val="24"/>
        </w:rPr>
        <w:t>v</w:t>
      </w:r>
      <w:r w:rsidR="00257A51">
        <w:rPr>
          <w:rFonts w:ascii="Times New Roman" w:hAnsi="Times New Roman" w:cs="Times New Roman"/>
          <w:sz w:val="24"/>
          <w:szCs w:val="24"/>
        </w:rPr>
        <w:t>essel</w:t>
      </w:r>
      <w:r w:rsidR="006621EB" w:rsidRPr="007B73B6">
        <w:rPr>
          <w:rFonts w:ascii="Times New Roman" w:hAnsi="Times New Roman" w:cs="Times New Roman"/>
          <w:sz w:val="24"/>
          <w:szCs w:val="24"/>
        </w:rPr>
        <w:t xml:space="preserve"> to have a weekly variable cost at the</w:t>
      </w:r>
      <w:r w:rsidR="001006BF">
        <w:rPr>
          <w:rFonts w:ascii="Times New Roman" w:hAnsi="Times New Roman" w:cs="Times New Roman"/>
          <w:sz w:val="24"/>
          <w:szCs w:val="24"/>
        </w:rPr>
        <w:t xml:space="preserve"> upper</w:t>
      </w:r>
      <w:r w:rsidR="006621EB" w:rsidRPr="007B73B6">
        <w:rPr>
          <w:rFonts w:ascii="Times New Roman" w:hAnsi="Times New Roman" w:cs="Times New Roman"/>
          <w:sz w:val="24"/>
          <w:szCs w:val="24"/>
        </w:rPr>
        <w:t xml:space="preserve"> 95</w:t>
      </w:r>
      <w:r w:rsidR="006621EB" w:rsidRPr="007B73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621EB" w:rsidRPr="007B73B6">
        <w:rPr>
          <w:rFonts w:ascii="Times New Roman" w:hAnsi="Times New Roman" w:cs="Times New Roman"/>
          <w:sz w:val="24"/>
          <w:szCs w:val="24"/>
        </w:rPr>
        <w:t xml:space="preserve"> percentile of the variable cost distribution. For the tuning only, w</w:t>
      </w:r>
      <w:r w:rsidR="00B124DB" w:rsidRPr="007B73B6">
        <w:rPr>
          <w:rFonts w:ascii="Times New Roman" w:hAnsi="Times New Roman" w:cs="Times New Roman"/>
          <w:sz w:val="24"/>
          <w:szCs w:val="24"/>
        </w:rPr>
        <w:t xml:space="preserve">e assigned vessel-specific variable costs based on quantiles of the lognormal distribution to avoid Monte Carlo error. </w:t>
      </w:r>
      <w:r w:rsidR="006621EB" w:rsidRPr="007B73B6">
        <w:rPr>
          <w:rFonts w:ascii="Times New Roman" w:hAnsi="Times New Roman" w:cs="Times New Roman"/>
          <w:sz w:val="24"/>
          <w:szCs w:val="24"/>
        </w:rPr>
        <w:t>That is</w:t>
      </w:r>
      <w:r w:rsidR="009C140F" w:rsidRPr="007B73B6">
        <w:rPr>
          <w:rFonts w:ascii="Times New Roman" w:hAnsi="Times New Roman" w:cs="Times New Roman"/>
          <w:sz w:val="24"/>
          <w:szCs w:val="24"/>
        </w:rPr>
        <w:t>, rather t</w:t>
      </w:r>
      <w:r w:rsidR="00D55998">
        <w:rPr>
          <w:rFonts w:ascii="Times New Roman" w:hAnsi="Times New Roman" w:cs="Times New Roman"/>
          <w:sz w:val="24"/>
          <w:szCs w:val="24"/>
        </w:rPr>
        <w:t>han randomly simulating</w:t>
      </w:r>
      <w:r w:rsidR="006621EB" w:rsidRPr="007B73B6">
        <w:rPr>
          <w:rFonts w:ascii="Times New Roman" w:hAnsi="Times New Roman" w:cs="Times New Roman"/>
          <w:sz w:val="24"/>
          <w:szCs w:val="24"/>
        </w:rPr>
        <w:t xml:space="preserve"> the variable costs for each vessel, vessel 1 had a cost at the 1/(number of vessels+1)</w:t>
      </w:r>
      <w:r w:rsidR="006621EB" w:rsidRPr="007B73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621EB" w:rsidRPr="007B73B6">
        <w:rPr>
          <w:rFonts w:ascii="Times New Roman" w:hAnsi="Times New Roman" w:cs="Times New Roman"/>
          <w:sz w:val="24"/>
          <w:szCs w:val="24"/>
        </w:rPr>
        <w:t>quantile</w:t>
      </w:r>
      <w:r w:rsidR="009C140F" w:rsidRPr="007B73B6">
        <w:rPr>
          <w:rFonts w:ascii="Times New Roman" w:hAnsi="Times New Roman" w:cs="Times New Roman"/>
          <w:sz w:val="24"/>
          <w:szCs w:val="24"/>
        </w:rPr>
        <w:t xml:space="preserve"> of the distribution</w:t>
      </w:r>
      <w:r w:rsidR="006621EB" w:rsidRPr="007B73B6">
        <w:rPr>
          <w:rFonts w:ascii="Times New Roman" w:hAnsi="Times New Roman" w:cs="Times New Roman"/>
          <w:sz w:val="24"/>
          <w:szCs w:val="24"/>
        </w:rPr>
        <w:t xml:space="preserve">, vessel 2 at the 2/(number of vessels+1) quantile, etc. </w:t>
      </w:r>
      <w:r>
        <w:rPr>
          <w:rFonts w:ascii="Times New Roman" w:hAnsi="Times New Roman" w:cs="Times New Roman"/>
          <w:sz w:val="24"/>
          <w:szCs w:val="24"/>
        </w:rPr>
        <w:t xml:space="preserve">This profitability constraint for species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can be expressed mathematically as:</w:t>
      </w:r>
    </w:p>
    <w:p w14:paraId="6427FB75" w14:textId="6C36FFAD" w:rsidR="00BA49CC" w:rsidRPr="00BA49CC" w:rsidRDefault="009B0DF1" w:rsidP="00D5599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s,y*w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s,v*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v*,s,y*,w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6D965311" w14:textId="48B071C0" w:rsidR="00BA49CC" w:rsidRPr="00BA49CC" w:rsidRDefault="00BA49CC" w:rsidP="00D559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BA49CC">
        <w:rPr>
          <w:rFonts w:ascii="Times New Roman" w:eastAsiaTheme="minorEastAsia" w:hAnsi="Times New Roman" w:cs="Times New Roman"/>
          <w:i/>
          <w:sz w:val="24"/>
          <w:szCs w:val="24"/>
        </w:rPr>
        <w:t>ε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s,y*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equals zero</w:t>
      </w:r>
      <w:r w:rsidR="009B0DF1">
        <w:rPr>
          <w:rFonts w:ascii="Times New Roman" w:eastAsiaTheme="minorEastAsia" w:hAnsi="Times New Roman" w:cs="Times New Roman"/>
          <w:sz w:val="24"/>
          <w:szCs w:val="24"/>
        </w:rPr>
        <w:t xml:space="preserve"> (average recruitment)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v*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the marginal vessel described above.</w:t>
      </w:r>
    </w:p>
    <w:p w14:paraId="6D514694" w14:textId="166CD5CF" w:rsidR="007C5107" w:rsidRPr="007B73B6" w:rsidRDefault="00237D62" w:rsidP="00D5599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73B6">
        <w:rPr>
          <w:rFonts w:ascii="Times New Roman" w:hAnsi="Times New Roman" w:cs="Times New Roman"/>
          <w:sz w:val="24"/>
          <w:szCs w:val="24"/>
        </w:rPr>
        <w:t>For crab and salmon, w</w:t>
      </w:r>
      <w:r w:rsidR="00B124DB" w:rsidRPr="007B73B6">
        <w:rPr>
          <w:rFonts w:ascii="Times New Roman" w:hAnsi="Times New Roman" w:cs="Times New Roman"/>
          <w:sz w:val="24"/>
          <w:szCs w:val="24"/>
        </w:rPr>
        <w:t xml:space="preserve">e manually adjusted </w:t>
      </w:r>
      <w:r w:rsidR="00B124DB" w:rsidRPr="007B73B6">
        <w:rPr>
          <w:rFonts w:ascii="Times New Roman" w:hAnsi="Times New Roman" w:cs="Times New Roman"/>
          <w:i/>
          <w:sz w:val="24"/>
          <w:szCs w:val="24"/>
        </w:rPr>
        <w:t>q</w:t>
      </w:r>
      <w:r w:rsidR="00B124DB" w:rsidRPr="007B73B6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="00B124DB" w:rsidRPr="007B73B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 w:rsidR="00B124DB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to achieve an acceptable annual ratio of variable costs to fixed costs for an average fisher (</w:t>
      </w:r>
      <w:r w:rsidR="00DA6FA4">
        <w:rPr>
          <w:rFonts w:ascii="Times New Roman" w:eastAsiaTheme="minorEastAsia" w:hAnsi="Times New Roman" w:cs="Times New Roman"/>
          <w:sz w:val="24"/>
          <w:szCs w:val="24"/>
        </w:rPr>
        <w:t>40</w:t>
      </w:r>
      <w:r w:rsidR="00B124DB" w:rsidRPr="007B73B6">
        <w:rPr>
          <w:rFonts w:ascii="Times New Roman" w:eastAsiaTheme="minorEastAsia" w:hAnsi="Times New Roman" w:cs="Times New Roman"/>
          <w:sz w:val="24"/>
          <w:szCs w:val="24"/>
        </w:rPr>
        <w:t>% of total costs are variable for crab, 89% for salmon) and acceptable patterns of depletion over the year (</w:t>
      </w:r>
      <w:r w:rsidR="007B207D">
        <w:rPr>
          <w:rFonts w:ascii="Times New Roman" w:eastAsiaTheme="minorEastAsia" w:hAnsi="Times New Roman" w:cs="Times New Roman"/>
          <w:sz w:val="24"/>
          <w:szCs w:val="24"/>
        </w:rPr>
        <w:t>Fig. 6, center column</w:t>
      </w:r>
      <w:r w:rsidR="00B124DB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9A7233" w:rsidRPr="007B73B6">
        <w:rPr>
          <w:rFonts w:ascii="Times New Roman" w:eastAsiaTheme="minorEastAsia" w:hAnsi="Times New Roman" w:cs="Times New Roman"/>
          <w:sz w:val="24"/>
          <w:szCs w:val="24"/>
        </w:rPr>
        <w:t>While the parameterization of catchability and fixed costs was somewhat arbitrary, our primary goal was to model a diversity of fisheries that range in capital intensity and depletion patterns, as</w:t>
      </w:r>
      <w:r w:rsidR="008B7805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we observe in the CCLME. </w:t>
      </w:r>
    </w:p>
    <w:p w14:paraId="64B778F3" w14:textId="4BB29FCD" w:rsidR="00CC132C" w:rsidRPr="007B73B6" w:rsidRDefault="00B124DB" w:rsidP="00D55998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7B73B6">
        <w:rPr>
          <w:rFonts w:ascii="Times New Roman" w:eastAsiaTheme="minorEastAsia" w:hAnsi="Times New Roman" w:cs="Times New Roman"/>
          <w:sz w:val="24"/>
          <w:szCs w:val="24"/>
        </w:rPr>
        <w:t xml:space="preserve">Tuning the fishery parameters for groundfish was more complex than for crab and salmon because the groundfish population dynamics respond to the fishery dynamics. First, </w:t>
      </w:r>
      <w:r w:rsidR="00BE06DB" w:rsidRPr="007B73B6">
        <w:rPr>
          <w:rFonts w:ascii="Times New Roman" w:eastAsiaTheme="minorEastAsia" w:hAnsi="Times New Roman" w:cs="Times New Roman"/>
          <w:sz w:val="24"/>
          <w:szCs w:val="24"/>
        </w:rPr>
        <w:t>we</w:t>
      </w:r>
      <w:r w:rsidR="0055486B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solved for</w:t>
      </w:r>
      <w:r w:rsidR="009813AC">
        <w:rPr>
          <w:rFonts w:ascii="Times New Roman" w:eastAsiaTheme="minorEastAsia" w:hAnsi="Times New Roman" w:cs="Times New Roman"/>
          <w:sz w:val="24"/>
          <w:szCs w:val="24"/>
        </w:rPr>
        <w:t xml:space="preserve"> catchability 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 xml:space="preserve">so that total yield is equal to the yield that leads the population to 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equilibrate at 40% of the unfished biomass (the actual management target for </w:t>
      </w:r>
      <w:r w:rsidR="009C140F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most 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>U</w:t>
      </w:r>
      <w:r w:rsidR="00EE6682" w:rsidRPr="007B73B6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EE6682" w:rsidRPr="007B73B6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west coast </w:t>
      </w:r>
      <w:r w:rsidR="008F64E4" w:rsidRPr="007B73B6">
        <w:rPr>
          <w:rFonts w:ascii="Times New Roman" w:eastAsiaTheme="minorEastAsia" w:hAnsi="Times New Roman" w:cs="Times New Roman"/>
          <w:sz w:val="24"/>
          <w:szCs w:val="24"/>
        </w:rPr>
        <w:t>groundfish</w:t>
      </w:r>
      <w:r w:rsidR="009C140F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species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E06DB" w:rsidRPr="007B73B6">
        <w:rPr>
          <w:rFonts w:ascii="Times New Roman" w:eastAsiaTheme="minorEastAsia" w:hAnsi="Times New Roman" w:cs="Times New Roman"/>
          <w:sz w:val="24"/>
          <w:szCs w:val="24"/>
        </w:rPr>
        <w:t>. To calculate this</w:t>
      </w:r>
      <w:r w:rsidR="0055486B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catchability</w:t>
      </w:r>
      <w:r w:rsidR="00BE06DB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, we projected the fishery for 40 weeks assuming 100% participation each week and solved for the catchability that led to the target yield. </w:t>
      </w:r>
      <w:r w:rsidR="00237D62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We used 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 xml:space="preserve">40 </w:t>
      </w:r>
      <w:r w:rsidR="00237D62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weeks 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>since vessels do not actually fish every week of the year in reality</w:t>
      </w:r>
      <w:r w:rsidR="00CC132C" w:rsidRPr="007B73B6">
        <w:rPr>
          <w:rFonts w:ascii="Times New Roman" w:eastAsiaTheme="minorEastAsia" w:hAnsi="Times New Roman" w:cs="Times New Roman"/>
          <w:sz w:val="24"/>
          <w:szCs w:val="24"/>
        </w:rPr>
        <w:t>, nor in our model since some vessels spend part of the year in other fisheries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813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132C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Next, we 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 xml:space="preserve">manually </w:t>
      </w:r>
      <w:r w:rsidR="00BE06DB" w:rsidRPr="007B73B6">
        <w:rPr>
          <w:rFonts w:ascii="Times New Roman" w:eastAsiaTheme="minorEastAsia" w:hAnsi="Times New Roman" w:cs="Times New Roman"/>
          <w:sz w:val="24"/>
          <w:szCs w:val="24"/>
        </w:rPr>
        <w:t>adjusted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the mean variable cost</w:t>
      </w:r>
      <w:r w:rsidR="007B73B6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B73B6" w:rsidRPr="007B73B6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7B73B6" w:rsidRPr="007B73B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g</w:t>
      </w:r>
      <w:r w:rsidR="007B73B6" w:rsidRPr="007B73B6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92716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>solved for the fixed cost</w:t>
      </w:r>
      <w:r w:rsidR="007B73B6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</m:oMath>
      <w:r w:rsidR="007B73B6" w:rsidRPr="007B73B6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such that the marginal vessel described above had no net profit at </w:t>
      </w:r>
      <w:r w:rsidR="00CC132C" w:rsidRPr="007B73B6">
        <w:rPr>
          <w:rFonts w:ascii="Times New Roman" w:eastAsiaTheme="minorEastAsia" w:hAnsi="Times New Roman" w:cs="Times New Roman"/>
          <w:sz w:val="24"/>
          <w:szCs w:val="24"/>
        </w:rPr>
        <w:t>the target equilibrium conditions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C132C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That is, we calculated </w:t>
      </w:r>
    </w:p>
    <w:p w14:paraId="5C2D16AC" w14:textId="6350DCB4" w:rsidR="00CC132C" w:rsidRPr="007B73B6" w:rsidRDefault="00600B38" w:rsidP="00D55998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box>
            <m: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40%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40%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# vessels</m:t>
                  </m:r>
                </m:den>
              </m:f>
            </m:e>
          </m:box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0.95</m:t>
              </m:r>
            </m: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)*40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softHyphen/>
          </m:r>
        </m:oMath>
      </m:oMathPara>
    </w:p>
    <w:p w14:paraId="480EABD7" w14:textId="6789AB20" w:rsidR="005614A4" w:rsidRPr="007B73B6" w:rsidRDefault="0040538A" w:rsidP="00D5599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73B6">
        <w:rPr>
          <w:rFonts w:ascii="Times New Roman" w:eastAsiaTheme="minorEastAsia" w:hAnsi="Times New Roman" w:cs="Times New Roman"/>
          <w:sz w:val="24"/>
          <w:szCs w:val="24"/>
        </w:rPr>
        <w:t>In the above equation, the first term is the revenue</w:t>
      </w:r>
      <w:r w:rsidR="00F01AA7">
        <w:rPr>
          <w:rFonts w:ascii="Times New Roman" w:eastAsiaTheme="minorEastAsia" w:hAnsi="Times New Roman" w:cs="Times New Roman"/>
          <w:sz w:val="24"/>
          <w:szCs w:val="24"/>
        </w:rPr>
        <w:t xml:space="preserve"> earned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per vessel under equilibrium conditions at 40% of unfished biomass and </w:t>
      </w:r>
      <w:r w:rsidR="00062490" w:rsidRPr="007B73B6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062490" w:rsidRPr="007B73B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 w:rsidR="00062490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is the inverse lognormal cumulative density function (“qlnorm” in R).</w:t>
      </w:r>
      <w:r w:rsidR="00B124DB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The mean variable cost was tuned to achieve an acceptable annual ratio of variable to fixed costs</w:t>
      </w:r>
      <w:r w:rsidR="005614A4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for an average vessel</w:t>
      </w:r>
      <w:r w:rsidR="00B124DB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in an average year with a population equilibrated at 40% of the unfished biomass (</w:t>
      </w:r>
      <w:r w:rsidR="003E3000" w:rsidRPr="007B73B6">
        <w:rPr>
          <w:rFonts w:ascii="Times New Roman" w:eastAsiaTheme="minorEastAsia" w:hAnsi="Times New Roman" w:cs="Times New Roman"/>
          <w:sz w:val="24"/>
          <w:szCs w:val="24"/>
        </w:rPr>
        <w:t>66</w:t>
      </w:r>
      <w:r w:rsidR="00B124DB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% of total costs are variable assuming 40 weeks of fishing). </w:t>
      </w:r>
    </w:p>
    <w:p w14:paraId="7AF1EF8E" w14:textId="5EEA8A60" w:rsidR="00B124DB" w:rsidRPr="007B73B6" w:rsidRDefault="005614A4" w:rsidP="00D55998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7B73B6">
        <w:rPr>
          <w:rFonts w:ascii="Times New Roman" w:eastAsiaTheme="minorEastAsia" w:hAnsi="Times New Roman" w:cs="Times New Roman"/>
          <w:sz w:val="24"/>
          <w:szCs w:val="24"/>
        </w:rPr>
        <w:t xml:space="preserve">We conducted </w:t>
      </w:r>
      <w:r w:rsidR="00AE1716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two </w:t>
      </w:r>
      <w:r w:rsidR="009C782F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post hoc 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 xml:space="preserve">checks for groundfish to ensure </w:t>
      </w:r>
      <w:r w:rsidR="00F01AA7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 xml:space="preserve">complicated process </w:t>
      </w:r>
      <w:r w:rsidR="003048E1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described above led to 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>reasonable dynamics</w:t>
      </w:r>
      <w:r w:rsidR="003048E1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despite the assumptions made</w:t>
      </w:r>
      <w:r w:rsidRPr="007B73B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E1716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First, we checked that </w:t>
      </w:r>
      <w:r w:rsidR="00B124DB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all vessels </w:t>
      </w:r>
      <w:r w:rsidR="00AE1716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would actually </w:t>
      </w:r>
      <w:r w:rsidR="00B124DB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fish for 40 weeks </w:t>
      </w:r>
      <w:r w:rsidR="00AE1716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under </w:t>
      </w:r>
      <w:r w:rsidR="00B124DB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the cost structure, as no constraint actively prevented vessels from leaving the fishery earlier </w:t>
      </w:r>
      <w:r w:rsidR="001006BF">
        <w:rPr>
          <w:rFonts w:ascii="Times New Roman" w:eastAsiaTheme="minorEastAsia" w:hAnsi="Times New Roman" w:cs="Times New Roman"/>
          <w:sz w:val="24"/>
          <w:szCs w:val="24"/>
        </w:rPr>
        <w:t>during</w:t>
      </w:r>
      <w:r w:rsidR="00B124DB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the year. We calculated </w:t>
      </w:r>
      <w:r w:rsidR="00AE1716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per vessel revenue </w:t>
      </w:r>
      <w:r w:rsidR="001006BF">
        <w:rPr>
          <w:rFonts w:ascii="Times New Roman" w:eastAsiaTheme="minorEastAsia" w:hAnsi="Times New Roman" w:cs="Times New Roman"/>
          <w:sz w:val="24"/>
          <w:szCs w:val="24"/>
        </w:rPr>
        <w:t xml:space="preserve">during </w:t>
      </w:r>
      <w:r w:rsidR="00AE1716" w:rsidRPr="007B73B6">
        <w:rPr>
          <w:rFonts w:ascii="Times New Roman" w:eastAsiaTheme="minorEastAsia" w:hAnsi="Times New Roman" w:cs="Times New Roman"/>
          <w:sz w:val="24"/>
          <w:szCs w:val="24"/>
        </w:rPr>
        <w:t>the 40</w:t>
      </w:r>
      <w:r w:rsidR="00AE1716" w:rsidRPr="007B73B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 w:rsidR="00AE1716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week of the year and ensured it was greater than the variable cost for the least cost-efficient vessel</w:t>
      </w:r>
      <w:r w:rsidR="00B124DB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 (costs calculated deterministically based on quantiles</w:t>
      </w:r>
      <w:r w:rsidR="00136D35" w:rsidRPr="007B73B6">
        <w:rPr>
          <w:rFonts w:ascii="Times New Roman" w:eastAsiaTheme="minorEastAsia" w:hAnsi="Times New Roman" w:cs="Times New Roman"/>
          <w:sz w:val="24"/>
          <w:szCs w:val="24"/>
        </w:rPr>
        <w:t>, note this is different than the “marginal” vessel</w:t>
      </w:r>
      <w:r w:rsidR="00B124DB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AE1716" w:rsidRPr="007B73B6">
        <w:rPr>
          <w:rFonts w:ascii="Times New Roman" w:eastAsiaTheme="minorEastAsia" w:hAnsi="Times New Roman" w:cs="Times New Roman"/>
          <w:sz w:val="24"/>
          <w:szCs w:val="24"/>
        </w:rPr>
        <w:t>Second, w</w:t>
      </w:r>
      <w:r w:rsidR="00B124DB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e visually checked that the fishery was roughly </w:t>
      </w:r>
      <w:r w:rsidR="00B124DB" w:rsidRPr="007B73B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in equilibrium and that the groundfish population did not consistently tend to grow or decline considerably during simulations </w:t>
      </w:r>
      <w:r w:rsidR="00AE1716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that included all three fisheries </w:t>
      </w:r>
      <w:r w:rsidR="00B124DB" w:rsidRPr="007B73B6">
        <w:rPr>
          <w:rFonts w:ascii="Times New Roman" w:eastAsiaTheme="minorEastAsia" w:hAnsi="Times New Roman" w:cs="Times New Roman"/>
          <w:sz w:val="24"/>
          <w:szCs w:val="24"/>
        </w:rPr>
        <w:t xml:space="preserve">(Fig. S1). </w:t>
      </w:r>
    </w:p>
    <w:p w14:paraId="2E802548" w14:textId="77777777" w:rsidR="00B124DB" w:rsidRPr="007B73B6" w:rsidRDefault="00B124DB" w:rsidP="00D5599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96B800A" w14:textId="6C7AE883" w:rsidR="00380C48" w:rsidRPr="007B73B6" w:rsidRDefault="0000415C" w:rsidP="00D55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F87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1.5pt">
            <v:imagedata r:id="rId6" o:title="groundfish_check"/>
          </v:shape>
        </w:pict>
      </w:r>
    </w:p>
    <w:p w14:paraId="1C1BD7D3" w14:textId="74450461" w:rsidR="00961196" w:rsidRPr="007B73B6" w:rsidRDefault="00675A07" w:rsidP="00D55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3B6">
        <w:rPr>
          <w:rFonts w:ascii="Times New Roman" w:hAnsi="Times New Roman" w:cs="Times New Roman"/>
          <w:sz w:val="24"/>
          <w:szCs w:val="24"/>
        </w:rPr>
        <w:t xml:space="preserve">Fig. S1  Time series of week one biomass over 50 years for </w:t>
      </w:r>
      <w:r w:rsidR="00FA0250">
        <w:rPr>
          <w:rFonts w:ascii="Times New Roman" w:hAnsi="Times New Roman" w:cs="Times New Roman"/>
          <w:sz w:val="24"/>
          <w:szCs w:val="24"/>
        </w:rPr>
        <w:t>50</w:t>
      </w:r>
      <w:r w:rsidRPr="007B73B6">
        <w:rPr>
          <w:rFonts w:ascii="Times New Roman" w:hAnsi="Times New Roman" w:cs="Times New Roman"/>
          <w:sz w:val="24"/>
          <w:szCs w:val="24"/>
        </w:rPr>
        <w:t xml:space="preserve"> simulations in base</w:t>
      </w:r>
      <w:r w:rsidR="00961196" w:rsidRPr="007B73B6">
        <w:rPr>
          <w:rFonts w:ascii="Times New Roman" w:hAnsi="Times New Roman" w:cs="Times New Roman"/>
          <w:sz w:val="24"/>
          <w:szCs w:val="24"/>
        </w:rPr>
        <w:t>line</w:t>
      </w:r>
      <w:r w:rsidRPr="007B73B6">
        <w:rPr>
          <w:rFonts w:ascii="Times New Roman" w:hAnsi="Times New Roman" w:cs="Times New Roman"/>
          <w:sz w:val="24"/>
          <w:szCs w:val="24"/>
        </w:rPr>
        <w:t xml:space="preserve"> conditions. Red horizontal line is average biomass across all years in all simulations, blue line is GAM smoother showing biomass remains roughly stable on average. </w:t>
      </w:r>
      <w:r w:rsidR="00961196" w:rsidRPr="007B73B6">
        <w:rPr>
          <w:rFonts w:ascii="Times New Roman" w:hAnsi="Times New Roman" w:cs="Times New Roman"/>
          <w:sz w:val="24"/>
          <w:szCs w:val="24"/>
        </w:rPr>
        <w:br w:type="page"/>
      </w:r>
    </w:p>
    <w:p w14:paraId="2687BFDA" w14:textId="77777777" w:rsidR="00FA0250" w:rsidRDefault="00600B38" w:rsidP="00D55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4CF9D664">
          <v:shape id="_x0000_i1026" type="#_x0000_t75" style="width:5in;height:4in">
            <v:imagedata r:id="rId7" o:title="sync_access_spp"/>
          </v:shape>
        </w:pict>
      </w:r>
    </w:p>
    <w:p w14:paraId="1B7A8849" w14:textId="624CC3B7" w:rsidR="00EC1429" w:rsidRPr="007B73B6" w:rsidRDefault="00EC1429" w:rsidP="00D55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3B6">
        <w:rPr>
          <w:rFonts w:ascii="Times New Roman" w:hAnsi="Times New Roman" w:cs="Times New Roman"/>
          <w:sz w:val="24"/>
          <w:szCs w:val="24"/>
        </w:rPr>
        <w:t xml:space="preserve">Fig. S2  Distribution of mean and coefficient of variation of revenue for each species under different synchrony and access scenarios. </w:t>
      </w:r>
    </w:p>
    <w:p w14:paraId="46CB1E94" w14:textId="77777777" w:rsidR="00961196" w:rsidRPr="007B73B6" w:rsidRDefault="00961196" w:rsidP="00D55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3B6">
        <w:rPr>
          <w:rFonts w:ascii="Times New Roman" w:hAnsi="Times New Roman" w:cs="Times New Roman"/>
          <w:sz w:val="24"/>
          <w:szCs w:val="24"/>
        </w:rPr>
        <w:br w:type="page"/>
      </w:r>
    </w:p>
    <w:p w14:paraId="1593CFFA" w14:textId="1A1EC99F" w:rsidR="00EC1429" w:rsidRPr="007B73B6" w:rsidRDefault="0000415C" w:rsidP="00D559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2C2F7F5A">
          <v:shape id="_x0000_i1027" type="#_x0000_t75" style="width:468pt;height:268pt">
            <v:imagedata r:id="rId8" o:title="sync_access_individuals"/>
          </v:shape>
        </w:pict>
      </w:r>
      <w:r w:rsidR="00EC1429" w:rsidRPr="007B73B6">
        <w:rPr>
          <w:rFonts w:ascii="Times New Roman" w:hAnsi="Times New Roman" w:cs="Times New Roman"/>
          <w:sz w:val="24"/>
          <w:szCs w:val="24"/>
        </w:rPr>
        <w:t xml:space="preserve">Fig. S3  Distribution of mean and coefficient of variation for individual vessels holding six possible permit portfolios under different synchrony scenarios. </w:t>
      </w:r>
      <w:r w:rsidR="00FA0250" w:rsidRPr="00FA0250">
        <w:rPr>
          <w:rFonts w:ascii="Times New Roman" w:hAnsi="Times New Roman" w:cs="Times New Roman"/>
          <w:sz w:val="24"/>
          <w:szCs w:val="24"/>
        </w:rPr>
        <w:t>Mean and CV are calculated over time for each vessel in each simulation, and then averaged across vessels within a simulation. Distributions show variability across simulations.</w:t>
      </w:r>
    </w:p>
    <w:sectPr w:rsidR="00EC1429" w:rsidRPr="007B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E1EED6" w16cid:durableId="225E13B8"/>
  <w16cid:commentId w16cid:paraId="05A3227F" w16cid:durableId="225E13DC"/>
  <w16cid:commentId w16cid:paraId="3231DE09" w16cid:durableId="225E141C"/>
  <w16cid:commentId w16cid:paraId="51896195" w16cid:durableId="225E149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8F05D" w14:textId="77777777" w:rsidR="00600B38" w:rsidRDefault="00600B38" w:rsidP="00BA49CC">
      <w:pPr>
        <w:spacing w:after="0" w:line="240" w:lineRule="auto"/>
      </w:pPr>
      <w:r>
        <w:separator/>
      </w:r>
    </w:p>
  </w:endnote>
  <w:endnote w:type="continuationSeparator" w:id="0">
    <w:p w14:paraId="702A8302" w14:textId="77777777" w:rsidR="00600B38" w:rsidRDefault="00600B38" w:rsidP="00BA4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21D30" w14:textId="77777777" w:rsidR="00600B38" w:rsidRDefault="00600B38" w:rsidP="00BA49CC">
      <w:pPr>
        <w:spacing w:after="0" w:line="240" w:lineRule="auto"/>
      </w:pPr>
      <w:r>
        <w:separator/>
      </w:r>
    </w:p>
  </w:footnote>
  <w:footnote w:type="continuationSeparator" w:id="0">
    <w:p w14:paraId="5957FC32" w14:textId="77777777" w:rsidR="00600B38" w:rsidRDefault="00600B38" w:rsidP="00BA4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38"/>
    <w:rsid w:val="0000415C"/>
    <w:rsid w:val="00062490"/>
    <w:rsid w:val="000737E6"/>
    <w:rsid w:val="000925AC"/>
    <w:rsid w:val="001006BF"/>
    <w:rsid w:val="00136D35"/>
    <w:rsid w:val="00164444"/>
    <w:rsid w:val="00223C90"/>
    <w:rsid w:val="00237D62"/>
    <w:rsid w:val="00257A51"/>
    <w:rsid w:val="002E2F7A"/>
    <w:rsid w:val="003048E1"/>
    <w:rsid w:val="00380C48"/>
    <w:rsid w:val="003E3000"/>
    <w:rsid w:val="003E7346"/>
    <w:rsid w:val="0040538A"/>
    <w:rsid w:val="005003D3"/>
    <w:rsid w:val="0055486B"/>
    <w:rsid w:val="005614A4"/>
    <w:rsid w:val="005A516B"/>
    <w:rsid w:val="00600B38"/>
    <w:rsid w:val="00603238"/>
    <w:rsid w:val="00610D56"/>
    <w:rsid w:val="006621EB"/>
    <w:rsid w:val="00675A07"/>
    <w:rsid w:val="00760DC0"/>
    <w:rsid w:val="00787040"/>
    <w:rsid w:val="007B207D"/>
    <w:rsid w:val="007B73B6"/>
    <w:rsid w:val="007C5107"/>
    <w:rsid w:val="008A5493"/>
    <w:rsid w:val="008B7805"/>
    <w:rsid w:val="008F64E4"/>
    <w:rsid w:val="009413C8"/>
    <w:rsid w:val="009521DC"/>
    <w:rsid w:val="00961196"/>
    <w:rsid w:val="009813AC"/>
    <w:rsid w:val="00987D4A"/>
    <w:rsid w:val="00992716"/>
    <w:rsid w:val="009A7233"/>
    <w:rsid w:val="009B0DF1"/>
    <w:rsid w:val="009C140F"/>
    <w:rsid w:val="009C782F"/>
    <w:rsid w:val="009E07B4"/>
    <w:rsid w:val="00A34DCA"/>
    <w:rsid w:val="00A514DD"/>
    <w:rsid w:val="00AE1716"/>
    <w:rsid w:val="00B06B0E"/>
    <w:rsid w:val="00B124DB"/>
    <w:rsid w:val="00B70809"/>
    <w:rsid w:val="00BA49CC"/>
    <w:rsid w:val="00BE06DB"/>
    <w:rsid w:val="00CC132C"/>
    <w:rsid w:val="00D55998"/>
    <w:rsid w:val="00DA6FA4"/>
    <w:rsid w:val="00DC478A"/>
    <w:rsid w:val="00E1249F"/>
    <w:rsid w:val="00EB7AC9"/>
    <w:rsid w:val="00EC1429"/>
    <w:rsid w:val="00EE6682"/>
    <w:rsid w:val="00F01AA7"/>
    <w:rsid w:val="00FA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D504"/>
  <w15:chartTrackingRefBased/>
  <w15:docId w15:val="{55D96C42-BA35-4970-9DFB-84CF22BB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24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4DB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4D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D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40F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40F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49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49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49C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A49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732</Words>
  <Characters>4045</Characters>
  <Application>Microsoft Office Word</Application>
  <DocSecurity>0</DocSecurity>
  <Lines>79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kiva.oken kiva.oken</dc:creator>
  <cp:keywords/>
  <dc:description/>
  <cp:lastModifiedBy>kiva.oken kiva.oken</cp:lastModifiedBy>
  <cp:revision>5</cp:revision>
  <dcterms:created xsi:type="dcterms:W3CDTF">2020-05-12T21:33:00Z</dcterms:created>
  <dcterms:modified xsi:type="dcterms:W3CDTF">2020-05-20T01:15:00Z</dcterms:modified>
</cp:coreProperties>
</file>