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261681">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56326A52" w:rsidR="00237D62" w:rsidRDefault="00BA49CC" w:rsidP="00261681">
      <w:pPr>
        <w:spacing w:after="0" w:line="480" w:lineRule="auto"/>
        <w:rPr>
          <w:rFonts w:ascii="Times New Roman" w:hAnsi="Times New Roman" w:cs="Times New Roman"/>
          <w:sz w:val="24"/>
          <w:szCs w:val="24"/>
        </w:rPr>
      </w:pPr>
      <w:r w:rsidRPr="00BA49CC">
        <w:rPr>
          <w:rFonts w:ascii="Times New Roman" w:hAnsi="Times New Roman" w:cs="Times New Roman"/>
          <w:sz w:val="24"/>
          <w:szCs w:val="24"/>
        </w:rPr>
        <w:t xml:space="preserve">We parameterized fixed costs, variable costs, and catchability to ensure total costs in a year with average recruitment </w:t>
      </w:r>
      <w:r>
        <w:rPr>
          <w:rFonts w:ascii="Times New Roman" w:hAnsi="Times New Roman" w:cs="Times New Roman"/>
          <w:sz w:val="24"/>
          <w:szCs w:val="24"/>
        </w:rPr>
        <w:t xml:space="preserve">would be </w:t>
      </w:r>
      <w:r w:rsidRPr="00BA49CC">
        <w:rPr>
          <w:rFonts w:ascii="Times New Roman" w:hAnsi="Times New Roman" w:cs="Times New Roman"/>
          <w:sz w:val="24"/>
          <w:szCs w:val="24"/>
        </w:rPr>
        <w:t>equal to total revenue for a marginal fisher who might be considering entry into the fishery</w:t>
      </w:r>
      <w:r>
        <w:rPr>
          <w:rFonts w:ascii="Times New Roman" w:hAnsi="Times New Roman" w:cs="Times New Roman"/>
          <w:sz w:val="24"/>
          <w:szCs w:val="24"/>
        </w:rPr>
        <w:t>.</w:t>
      </w:r>
      <w:r>
        <w:rPr>
          <w:rFonts w:ascii="Times New Roman" w:hAnsi="Times New Roman" w:cs="Times New Roman"/>
        </w:rPr>
        <w:t xml:space="preserve"> </w:t>
      </w:r>
      <w:r w:rsidR="00237D62"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w:t>
      </w:r>
      <w:r w:rsidR="00D55998">
        <w:rPr>
          <w:rFonts w:ascii="Times New Roman" w:hAnsi="Times New Roman" w:cs="Times New Roman"/>
          <w:sz w:val="24"/>
          <w:szCs w:val="24"/>
        </w:rPr>
        <w:t>n inefficient</w:t>
      </w:r>
      <w:r w:rsidR="006621EB" w:rsidRPr="007B73B6">
        <w:rPr>
          <w:rFonts w:ascii="Times New Roman" w:hAnsi="Times New Roman" w:cs="Times New Roman"/>
          <w:sz w:val="24"/>
          <w:szCs w:val="24"/>
        </w:rPr>
        <w:t xml:space="preserve"> marginal </w:t>
      </w:r>
      <w:r w:rsidR="009E07B4">
        <w:rPr>
          <w:rFonts w:ascii="Times New Roman" w:hAnsi="Times New Roman" w:cs="Times New Roman"/>
          <w:sz w:val="24"/>
          <w:szCs w:val="24"/>
        </w:rPr>
        <w:t>v</w:t>
      </w:r>
      <w:r w:rsidR="00257A51">
        <w:rPr>
          <w:rFonts w:ascii="Times New Roman" w:hAnsi="Times New Roman" w:cs="Times New Roman"/>
          <w:sz w:val="24"/>
          <w:szCs w:val="24"/>
        </w:rPr>
        <w:t>essel</w:t>
      </w:r>
      <w:r w:rsidR="006621EB" w:rsidRPr="007B73B6">
        <w:rPr>
          <w:rFonts w:ascii="Times New Roman" w:hAnsi="Times New Roman" w:cs="Times New Roman"/>
          <w:sz w:val="24"/>
          <w:szCs w:val="24"/>
        </w:rPr>
        <w:t xml:space="preserve"> to have a weekly variable cost at the</w:t>
      </w:r>
      <w:r w:rsidR="001006BF">
        <w:rPr>
          <w:rFonts w:ascii="Times New Roman" w:hAnsi="Times New Roman" w:cs="Times New Roman"/>
          <w:sz w:val="24"/>
          <w:szCs w:val="24"/>
        </w:rPr>
        <w:t xml:space="preserve"> upper</w:t>
      </w:r>
      <w:r w:rsidR="006621EB" w:rsidRPr="007B73B6">
        <w:rPr>
          <w:rFonts w:ascii="Times New Roman" w:hAnsi="Times New Roman" w:cs="Times New Roman"/>
          <w:sz w:val="24"/>
          <w:szCs w:val="24"/>
        </w:rPr>
        <w:t xml:space="preserv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w:t>
      </w:r>
      <w:r w:rsidR="00D55998">
        <w:rPr>
          <w:rFonts w:ascii="Times New Roman" w:hAnsi="Times New Roman" w:cs="Times New Roman"/>
          <w:sz w:val="24"/>
          <w:szCs w:val="24"/>
        </w:rPr>
        <w:t>han randomly simulating</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xml:space="preserve">, vessel 2 at the 2/(number of vessels+1) quantile, etc. </w:t>
      </w:r>
      <w:r>
        <w:rPr>
          <w:rFonts w:ascii="Times New Roman" w:hAnsi="Times New Roman" w:cs="Times New Roman"/>
          <w:sz w:val="24"/>
          <w:szCs w:val="24"/>
        </w:rPr>
        <w:t>Th</w:t>
      </w:r>
      <w:r w:rsidR="00D90618">
        <w:rPr>
          <w:rFonts w:ascii="Times New Roman" w:hAnsi="Times New Roman" w:cs="Times New Roman"/>
          <w:sz w:val="24"/>
          <w:szCs w:val="24"/>
        </w:rPr>
        <w:t>e</w:t>
      </w:r>
      <w:r>
        <w:rPr>
          <w:rFonts w:ascii="Times New Roman" w:hAnsi="Times New Roman" w:cs="Times New Roman"/>
          <w:sz w:val="24"/>
          <w:szCs w:val="24"/>
        </w:rPr>
        <w:t xml:space="preserve"> profitability constraint for species </w:t>
      </w:r>
      <w:r>
        <w:rPr>
          <w:rFonts w:ascii="Times New Roman" w:hAnsi="Times New Roman" w:cs="Times New Roman"/>
          <w:i/>
          <w:sz w:val="24"/>
          <w:szCs w:val="24"/>
        </w:rPr>
        <w:t xml:space="preserve">s </w:t>
      </w:r>
      <w:r>
        <w:rPr>
          <w:rFonts w:ascii="Times New Roman" w:hAnsi="Times New Roman" w:cs="Times New Roman"/>
          <w:sz w:val="24"/>
          <w:szCs w:val="24"/>
        </w:rPr>
        <w:t>can be expressed mathematically as:</w:t>
      </w:r>
    </w:p>
    <w:p w14:paraId="6427FB75" w14:textId="15E3B696" w:rsidR="00BA49CC" w:rsidRPr="00BA49CC" w:rsidRDefault="009B0DF1" w:rsidP="00261681">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s,y*</m:t>
                  </m:r>
                  <m:r>
                    <w:rPr>
                      <w:rFonts w:ascii="Cambria Math" w:hAnsi="Cambria Math" w:cs="Times New Roman"/>
                      <w:sz w:val="24"/>
                      <w:szCs w:val="24"/>
                    </w:rPr>
                    <m:t>,</m:t>
                  </m:r>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s,v*</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v*,s,y*,w</m:t>
              </m:r>
            </m:sub>
          </m:sSub>
          <m:r>
            <w:rPr>
              <w:rFonts w:ascii="Cambria Math" w:hAnsi="Cambria Math" w:cs="Times New Roman"/>
              <w:sz w:val="24"/>
              <w:szCs w:val="24"/>
            </w:rPr>
            <m:t>=0</m:t>
          </m:r>
        </m:oMath>
      </m:oMathPara>
    </w:p>
    <w:p w14:paraId="6D965311" w14:textId="20F779BD" w:rsidR="00BA49CC" w:rsidRPr="00BA49CC" w:rsidRDefault="00D90618" w:rsidP="0026168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BA49CC">
        <w:rPr>
          <w:rFonts w:ascii="Times New Roman" w:eastAsiaTheme="minorEastAsia" w:hAnsi="Times New Roman" w:cs="Times New Roman"/>
          <w:sz w:val="24"/>
          <w:szCs w:val="24"/>
        </w:rPr>
        <w:t xml:space="preserve">here </w:t>
      </w:r>
      <w:r w:rsidR="00BA49CC" w:rsidRPr="00BA49CC">
        <w:rPr>
          <w:rFonts w:ascii="Times New Roman" w:eastAsiaTheme="minorEastAsia" w:hAnsi="Times New Roman" w:cs="Times New Roman"/>
          <w:i/>
          <w:sz w:val="24"/>
          <w:szCs w:val="24"/>
        </w:rPr>
        <w:t>ε</w:t>
      </w:r>
      <w:r w:rsidR="00BA49CC">
        <w:rPr>
          <w:rFonts w:ascii="Times New Roman" w:eastAsiaTheme="minorEastAsia" w:hAnsi="Times New Roman" w:cs="Times New Roman"/>
          <w:i/>
          <w:sz w:val="24"/>
          <w:szCs w:val="24"/>
          <w:vertAlign w:val="subscript"/>
        </w:rPr>
        <w:t>s,y*</w:t>
      </w:r>
      <w:r w:rsidR="00BA49CC">
        <w:rPr>
          <w:rFonts w:ascii="Times New Roman" w:eastAsiaTheme="minorEastAsia" w:hAnsi="Times New Roman" w:cs="Times New Roman"/>
          <w:sz w:val="24"/>
          <w:szCs w:val="24"/>
        </w:rPr>
        <w:t xml:space="preserve"> equal</w:t>
      </w:r>
      <w:r w:rsidR="00BA49CC">
        <w:rPr>
          <w:rFonts w:ascii="Times New Roman" w:eastAsiaTheme="minorEastAsia" w:hAnsi="Times New Roman" w:cs="Times New Roman"/>
          <w:sz w:val="24"/>
          <w:szCs w:val="24"/>
        </w:rPr>
        <w:t>s</w:t>
      </w:r>
      <w:r w:rsidR="00BA49CC">
        <w:rPr>
          <w:rFonts w:ascii="Times New Roman" w:eastAsiaTheme="minorEastAsia" w:hAnsi="Times New Roman" w:cs="Times New Roman"/>
          <w:sz w:val="24"/>
          <w:szCs w:val="24"/>
        </w:rPr>
        <w:t xml:space="preserve"> zero</w:t>
      </w:r>
      <w:r w:rsidR="009B0DF1">
        <w:rPr>
          <w:rFonts w:ascii="Times New Roman" w:eastAsiaTheme="minorEastAsia" w:hAnsi="Times New Roman" w:cs="Times New Roman"/>
          <w:sz w:val="24"/>
          <w:szCs w:val="24"/>
        </w:rPr>
        <w:t xml:space="preserve"> (average recruitment)</w:t>
      </w:r>
      <w:r w:rsidR="00BA49CC">
        <w:rPr>
          <w:rFonts w:ascii="Times New Roman" w:eastAsiaTheme="minorEastAsia" w:hAnsi="Times New Roman" w:cs="Times New Roman"/>
          <w:sz w:val="24"/>
          <w:szCs w:val="24"/>
        </w:rPr>
        <w:t xml:space="preserve">, and </w:t>
      </w:r>
      <w:r w:rsidR="00BA49CC">
        <w:rPr>
          <w:rFonts w:ascii="Times New Roman" w:eastAsiaTheme="minorEastAsia" w:hAnsi="Times New Roman" w:cs="Times New Roman"/>
          <w:i/>
          <w:sz w:val="24"/>
          <w:szCs w:val="24"/>
        </w:rPr>
        <w:t>v*</w:t>
      </w:r>
      <w:r w:rsidR="00BA49CC">
        <w:rPr>
          <w:rFonts w:ascii="Times New Roman" w:eastAsiaTheme="minorEastAsia" w:hAnsi="Times New Roman" w:cs="Times New Roman"/>
          <w:sz w:val="24"/>
          <w:szCs w:val="24"/>
        </w:rPr>
        <w:t xml:space="preserve"> is the marginal vessel described above.</w:t>
      </w:r>
    </w:p>
    <w:p w14:paraId="6D514694" w14:textId="5CE31638" w:rsidR="007C5107" w:rsidRPr="007B73B6" w:rsidRDefault="00237D62" w:rsidP="00835C7A">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 </w:t>
      </w:r>
      <w:r w:rsidR="00835C7A">
        <w:rPr>
          <w:rFonts w:ascii="Times New Roman" w:eastAsiaTheme="minorEastAsia" w:hAnsi="Times New Roman" w:cs="Times New Roman"/>
          <w:sz w:val="24"/>
          <w:szCs w:val="24"/>
        </w:rPr>
        <w:t xml:space="preserve">Although there is substantial heterogeneity </w:t>
      </w:r>
      <w:r w:rsidR="00835C7A">
        <w:rPr>
          <w:rFonts w:ascii="Times New Roman" w:eastAsiaTheme="minorEastAsia" w:hAnsi="Times New Roman" w:cs="Times New Roman"/>
          <w:sz w:val="24"/>
          <w:szCs w:val="24"/>
        </w:rPr>
        <w:t>among</w:t>
      </w:r>
      <w:r w:rsidR="00835C7A">
        <w:rPr>
          <w:rFonts w:ascii="Times New Roman" w:eastAsiaTheme="minorEastAsia" w:hAnsi="Times New Roman" w:cs="Times New Roman"/>
          <w:sz w:val="24"/>
          <w:szCs w:val="24"/>
        </w:rPr>
        <w:t xml:space="preserve"> vessels in all three fisheries, the crab fishery is relatively more capital intensive (when amortization of vessel and permit values are i</w:t>
      </w:r>
      <w:bookmarkStart w:id="0" w:name="_GoBack"/>
      <w:bookmarkEnd w:id="0"/>
      <w:r w:rsidR="00835C7A">
        <w:rPr>
          <w:rFonts w:ascii="Times New Roman" w:eastAsiaTheme="minorEastAsia" w:hAnsi="Times New Roman" w:cs="Times New Roman"/>
          <w:sz w:val="24"/>
          <w:szCs w:val="24"/>
        </w:rPr>
        <w:t xml:space="preserve">ncluded in fixed costs as we assume here). Crab permits often sell for </w:t>
      </w:r>
      <w:r w:rsidR="00835C7A">
        <w:rPr>
          <w:rFonts w:ascii="Times New Roman" w:eastAsiaTheme="minorEastAsia" w:hAnsi="Times New Roman" w:cs="Times New Roman"/>
          <w:sz w:val="24"/>
          <w:szCs w:val="24"/>
        </w:rPr>
        <w:t xml:space="preserve">over $500,000 </w:t>
      </w:r>
      <w:r w:rsidR="00835C7A">
        <w:rPr>
          <w:rFonts w:ascii="Times New Roman" w:eastAsiaTheme="minorEastAsia" w:hAnsi="Times New Roman" w:cs="Times New Roman"/>
          <w:sz w:val="24"/>
          <w:szCs w:val="24"/>
        </w:rPr>
        <w:t>while salmo</w:t>
      </w:r>
      <w:r w:rsidR="00835C7A">
        <w:rPr>
          <w:rFonts w:ascii="Times New Roman" w:eastAsiaTheme="minorEastAsia" w:hAnsi="Times New Roman" w:cs="Times New Roman"/>
          <w:sz w:val="24"/>
          <w:szCs w:val="24"/>
        </w:rPr>
        <w:t>n troll permits sell for $20-30,000 (Dock street Brokers)</w:t>
      </w:r>
      <w:r w:rsidR="00835C7A">
        <w:rPr>
          <w:rFonts w:ascii="Times New Roman" w:eastAsiaTheme="minorEastAsia" w:hAnsi="Times New Roman" w:cs="Times New Roman"/>
          <w:sz w:val="24"/>
          <w:szCs w:val="24"/>
        </w:rPr>
        <w:t xml:space="preserve">. Vessel prices for </w:t>
      </w:r>
      <w:r w:rsidR="00835C7A">
        <w:rPr>
          <w:rFonts w:ascii="Times New Roman" w:eastAsiaTheme="minorEastAsia" w:hAnsi="Times New Roman" w:cs="Times New Roman"/>
          <w:sz w:val="24"/>
          <w:szCs w:val="24"/>
        </w:rPr>
        <w:lastRenderedPageBreak/>
        <w:t xml:space="preserve">crab boats are also higher than salmon trollers, and crabbers also make substantial investments in pots. </w:t>
      </w:r>
    </w:p>
    <w:p w14:paraId="64B778F3" w14:textId="26526F57" w:rsidR="00CC132C" w:rsidRPr="007B73B6" w:rsidRDefault="00B124DB"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9813AC">
        <w:rPr>
          <w:rFonts w:ascii="Times New Roman" w:eastAsiaTheme="minorEastAsia" w:hAnsi="Times New Roman" w:cs="Times New Roman"/>
          <w:sz w:val="24"/>
          <w:szCs w:val="24"/>
        </w:rPr>
        <w:t xml:space="preserve"> catchability </w:t>
      </w:r>
      <w:r w:rsidRPr="007B73B6">
        <w:rPr>
          <w:rFonts w:ascii="Times New Roman" w:eastAsiaTheme="minorEastAsia" w:hAnsi="Times New Roman" w:cs="Times New Roman"/>
          <w:sz w:val="24"/>
          <w:szCs w:val="24"/>
        </w:rPr>
        <w:t xml:space="preserve">so that total yield is equal to that </w:t>
      </w:r>
      <w:r w:rsidR="00D90618">
        <w:rPr>
          <w:rFonts w:ascii="Times New Roman" w:eastAsiaTheme="minorEastAsia" w:hAnsi="Times New Roman" w:cs="Times New Roman"/>
          <w:sz w:val="24"/>
          <w:szCs w:val="24"/>
        </w:rPr>
        <w:t xml:space="preserve">which </w:t>
      </w:r>
      <w:r w:rsidRPr="007B73B6">
        <w:rPr>
          <w:rFonts w:ascii="Times New Roman" w:eastAsiaTheme="minorEastAsia" w:hAnsi="Times New Roman" w:cs="Times New Roman"/>
          <w:sz w:val="24"/>
          <w:szCs w:val="24"/>
        </w:rPr>
        <w:t xml:space="preserve">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D90618">
        <w:rPr>
          <w:rFonts w:ascii="Times New Roman" w:eastAsiaTheme="minorEastAsia" w:hAnsi="Times New Roman" w:cs="Times New Roman"/>
          <w:sz w:val="24"/>
          <w:szCs w:val="24"/>
        </w:rPr>
        <w:t>W</w:t>
      </w:r>
      <w:r w:rsidRPr="007B73B6">
        <w:rPr>
          <w:rFonts w:ascii="Times New Roman" w:eastAsiaTheme="minorEastAsia" w:hAnsi="Times New Roman" w:cs="Times New Roman"/>
          <w:sz w:val="24"/>
          <w:szCs w:val="24"/>
        </w:rPr>
        <w:t xml:space="preserve">est </w:t>
      </w:r>
      <w:r w:rsidR="00D90618">
        <w:rPr>
          <w:rFonts w:ascii="Times New Roman" w:eastAsiaTheme="minorEastAsia" w:hAnsi="Times New Roman" w:cs="Times New Roman"/>
          <w:sz w:val="24"/>
          <w:szCs w:val="24"/>
        </w:rPr>
        <w:t>C</w:t>
      </w:r>
      <w:r w:rsidRPr="007B73B6">
        <w:rPr>
          <w:rFonts w:ascii="Times New Roman" w:eastAsiaTheme="minorEastAsia" w:hAnsi="Times New Roman" w:cs="Times New Roman"/>
          <w:sz w:val="24"/>
          <w:szCs w:val="24"/>
        </w:rPr>
        <w:t xml:space="preserve">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w:t>
      </w:r>
      <w:r w:rsidR="009813AC">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1F5605" w:rsidP="00261681">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0B14138B" w:rsidR="005614A4" w:rsidRPr="00C06476" w:rsidRDefault="0040538A" w:rsidP="00C06476">
      <w:pPr>
        <w:spacing w:after="0" w:line="480" w:lineRule="auto"/>
        <w:ind w:firstLine="720"/>
        <w:rPr>
          <w:rFonts w:ascii="Times New Roman" w:hAnsi="Times New Roman" w:cs="Times New Roman"/>
          <w:sz w:val="24"/>
          <w:szCs w:val="24"/>
        </w:rPr>
      </w:pPr>
      <w:r w:rsidRPr="007B73B6">
        <w:rPr>
          <w:rFonts w:ascii="Times New Roman" w:eastAsiaTheme="minorEastAsia" w:hAnsi="Times New Roman" w:cs="Times New Roman"/>
          <w:sz w:val="24"/>
          <w:szCs w:val="24"/>
        </w:rPr>
        <w:t>In the above equation, the first term is the revenue</w:t>
      </w:r>
      <w:r w:rsidR="00F01AA7">
        <w:rPr>
          <w:rFonts w:ascii="Times New Roman" w:eastAsiaTheme="minorEastAsia" w:hAnsi="Times New Roman" w:cs="Times New Roman"/>
          <w:sz w:val="24"/>
          <w:szCs w:val="24"/>
        </w:rPr>
        <w:t xml:space="preserve"> earned</w:t>
      </w:r>
      <w:r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r w:rsidR="00835C7A">
        <w:rPr>
          <w:rFonts w:ascii="Times New Roman" w:eastAsiaTheme="minorEastAsia" w:hAnsi="Times New Roman" w:cs="Times New Roman"/>
          <w:sz w:val="24"/>
          <w:szCs w:val="24"/>
        </w:rPr>
        <w:t>The groundfish fleet</w:t>
      </w:r>
      <w:r w:rsidR="00835C7A">
        <w:rPr>
          <w:rFonts w:ascii="Times New Roman" w:eastAsiaTheme="minorEastAsia" w:hAnsi="Times New Roman" w:cs="Times New Roman"/>
          <w:sz w:val="24"/>
          <w:szCs w:val="24"/>
        </w:rPr>
        <w:t xml:space="preserve"> </w:t>
      </w:r>
      <w:r w:rsidR="00835C7A">
        <w:rPr>
          <w:rFonts w:ascii="Times New Roman" w:eastAsiaTheme="minorEastAsia" w:hAnsi="Times New Roman" w:cs="Times New Roman"/>
          <w:sz w:val="24"/>
          <w:szCs w:val="24"/>
        </w:rPr>
        <w:t xml:space="preserve">is </w:t>
      </w:r>
      <w:r w:rsidR="00835C7A">
        <w:rPr>
          <w:rFonts w:ascii="Times New Roman" w:eastAsiaTheme="minorEastAsia" w:hAnsi="Times New Roman" w:cs="Times New Roman"/>
          <w:sz w:val="24"/>
          <w:szCs w:val="24"/>
        </w:rPr>
        <w:t xml:space="preserve">also </w:t>
      </w:r>
      <w:r w:rsidR="00835C7A">
        <w:rPr>
          <w:rFonts w:ascii="Times New Roman" w:eastAsiaTheme="minorEastAsia" w:hAnsi="Times New Roman" w:cs="Times New Roman"/>
          <w:sz w:val="24"/>
          <w:szCs w:val="24"/>
        </w:rPr>
        <w:t>highly heterogeneous with both small operations fishing in state waters and large offshore trawlers</w:t>
      </w:r>
      <w:r w:rsidR="00835C7A">
        <w:rPr>
          <w:rFonts w:ascii="Times New Roman" w:eastAsiaTheme="minorEastAsia" w:hAnsi="Times New Roman" w:cs="Times New Roman"/>
          <w:sz w:val="24"/>
          <w:szCs w:val="24"/>
        </w:rPr>
        <w:t xml:space="preserve">, but this assumption of an </w:t>
      </w:r>
      <w:r w:rsidR="00835C7A">
        <w:rPr>
          <w:rFonts w:ascii="Times New Roman" w:eastAsiaTheme="minorEastAsia" w:hAnsi="Times New Roman" w:cs="Times New Roman"/>
          <w:sz w:val="24"/>
          <w:szCs w:val="24"/>
        </w:rPr>
        <w:t xml:space="preserve">intermediate ratio of variable to total cost </w:t>
      </w:r>
      <w:r w:rsidR="00835C7A">
        <w:rPr>
          <w:rFonts w:ascii="Times New Roman" w:eastAsiaTheme="minorEastAsia" w:hAnsi="Times New Roman" w:cs="Times New Roman"/>
          <w:sz w:val="24"/>
          <w:szCs w:val="24"/>
        </w:rPr>
        <w:t>is</w:t>
      </w:r>
      <w:r w:rsidR="00835C7A">
        <w:rPr>
          <w:rFonts w:ascii="Times New Roman" w:eastAsiaTheme="minorEastAsia" w:hAnsi="Times New Roman" w:cs="Times New Roman"/>
          <w:sz w:val="24"/>
          <w:szCs w:val="24"/>
        </w:rPr>
        <w:t xml:space="preserve"> ro</w:t>
      </w:r>
      <w:r w:rsidR="00835C7A">
        <w:rPr>
          <w:rFonts w:ascii="Times New Roman" w:eastAsiaTheme="minorEastAsia" w:hAnsi="Times New Roman" w:cs="Times New Roman"/>
          <w:sz w:val="24"/>
          <w:szCs w:val="24"/>
        </w:rPr>
        <w:t>ughly in line with average cost</w:t>
      </w:r>
      <w:r w:rsidR="00835C7A">
        <w:rPr>
          <w:rFonts w:ascii="Times New Roman" w:eastAsiaTheme="minorEastAsia" w:hAnsi="Times New Roman" w:cs="Times New Roman"/>
          <w:sz w:val="24"/>
          <w:szCs w:val="24"/>
        </w:rPr>
        <w:t xml:space="preserve"> structures of intermediate size trawlers participating in the dover sole-thrornyhead-sablefish (DTS) component of the fishery and </w:t>
      </w:r>
      <w:r w:rsidR="00835C7A">
        <w:rPr>
          <w:rFonts w:ascii="Times New Roman" w:eastAsiaTheme="minorEastAsia" w:hAnsi="Times New Roman" w:cs="Times New Roman"/>
          <w:sz w:val="24"/>
          <w:szCs w:val="24"/>
        </w:rPr>
        <w:lastRenderedPageBreak/>
        <w:t xml:space="preserve">longline and pot vessels that target sablefish </w:t>
      </w:r>
      <w:r w:rsidR="00835C7A">
        <w:rPr>
          <w:rFonts w:ascii="Times New Roman" w:eastAsiaTheme="minorEastAsia" w:hAnsi="Times New Roman" w:cs="Times New Roman"/>
          <w:sz w:val="24"/>
          <w:szCs w:val="24"/>
        </w:rPr>
        <w:t>(Northwest Fisheries Science Center)</w:t>
      </w:r>
      <w:r w:rsidR="00835C7A">
        <w:rPr>
          <w:rFonts w:ascii="Times New Roman" w:eastAsiaTheme="minorEastAsia" w:hAnsi="Times New Roman" w:cs="Times New Roman"/>
          <w:sz w:val="24"/>
          <w:szCs w:val="24"/>
        </w:rPr>
        <w:t>.</w:t>
      </w:r>
      <w:r w:rsidR="00C06476">
        <w:rPr>
          <w:rFonts w:ascii="Times New Roman" w:eastAsiaTheme="minorEastAsia" w:hAnsi="Times New Roman" w:cs="Times New Roman"/>
          <w:sz w:val="24"/>
          <w:szCs w:val="24"/>
        </w:rPr>
        <w:t xml:space="preserve"> </w:t>
      </w:r>
      <w:r w:rsidR="00C06476">
        <w:rPr>
          <w:rFonts w:ascii="Times New Roman" w:eastAsiaTheme="minorEastAsia" w:hAnsi="Times New Roman" w:cs="Times New Roman"/>
          <w:sz w:val="24"/>
          <w:szCs w:val="24"/>
        </w:rPr>
        <w:t>As we note in the main text, we are not attempting to parameterize these fleets accurately, but qualitatively our assumptions about relativity levels of fixed and variable costs are broadly representative of these fisheries.</w:t>
      </w:r>
    </w:p>
    <w:p w14:paraId="7AF1EF8E" w14:textId="4386328C" w:rsidR="00B124DB" w:rsidRPr="007B73B6" w:rsidRDefault="005614A4"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w:t>
      </w:r>
      <w:r w:rsidR="001006BF">
        <w:rPr>
          <w:rFonts w:ascii="Times New Roman" w:eastAsiaTheme="minorEastAsia" w:hAnsi="Times New Roman" w:cs="Times New Roman"/>
          <w:sz w:val="24"/>
          <w:szCs w:val="24"/>
        </w:rPr>
        <w:t>during</w:t>
      </w:r>
      <w:r w:rsidR="00B124DB" w:rsidRPr="007B73B6">
        <w:rPr>
          <w:rFonts w:ascii="Times New Roman" w:eastAsiaTheme="minorEastAsia" w:hAnsi="Times New Roman" w:cs="Times New Roman"/>
          <w:sz w:val="24"/>
          <w:szCs w:val="24"/>
        </w:rPr>
        <w:t xml:space="preserve"> the year. We calculated </w:t>
      </w:r>
      <w:r w:rsidR="00AE1716" w:rsidRPr="007B73B6">
        <w:rPr>
          <w:rFonts w:ascii="Times New Roman" w:eastAsiaTheme="minorEastAsia" w:hAnsi="Times New Roman" w:cs="Times New Roman"/>
          <w:sz w:val="24"/>
          <w:szCs w:val="24"/>
        </w:rPr>
        <w:t xml:space="preserve">per vessel revenue </w:t>
      </w:r>
      <w:r w:rsidR="001006BF">
        <w:rPr>
          <w:rFonts w:ascii="Times New Roman" w:eastAsiaTheme="minorEastAsia" w:hAnsi="Times New Roman" w:cs="Times New Roman"/>
          <w:sz w:val="24"/>
          <w:szCs w:val="24"/>
        </w:rPr>
        <w:t xml:space="preserve">during </w:t>
      </w:r>
      <w:r w:rsidR="00AE1716" w:rsidRPr="007B73B6">
        <w:rPr>
          <w:rFonts w:ascii="Times New Roman" w:eastAsiaTheme="minorEastAsia" w:hAnsi="Times New Roman" w:cs="Times New Roman"/>
          <w:sz w:val="24"/>
          <w:szCs w:val="24"/>
        </w:rPr>
        <w:t>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 xml:space="preserve">that included all three fisheries </w:t>
      </w:r>
      <w:r w:rsidR="00B124DB" w:rsidRPr="007B73B6">
        <w:rPr>
          <w:rFonts w:ascii="Times New Roman" w:eastAsiaTheme="minorEastAsia" w:hAnsi="Times New Roman" w:cs="Times New Roman"/>
          <w:sz w:val="24"/>
          <w:szCs w:val="24"/>
        </w:rPr>
        <w:t xml:space="preserve">(Fig. S1). </w:t>
      </w:r>
    </w:p>
    <w:p w14:paraId="2E802548" w14:textId="44060CD9" w:rsidR="00B124DB" w:rsidRDefault="00B124DB" w:rsidP="00261681">
      <w:pPr>
        <w:spacing w:line="480" w:lineRule="auto"/>
        <w:rPr>
          <w:rFonts w:ascii="Times New Roman" w:hAnsi="Times New Roman" w:cs="Times New Roman"/>
          <w:sz w:val="24"/>
          <w:szCs w:val="24"/>
          <w:u w:val="single"/>
        </w:rPr>
      </w:pPr>
    </w:p>
    <w:p w14:paraId="3727A937" w14:textId="55C0528E" w:rsidR="00835C7A" w:rsidRPr="00835C7A" w:rsidRDefault="002A4C29" w:rsidP="0026168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Works</w:t>
      </w:r>
      <w:r w:rsidR="00835C7A">
        <w:rPr>
          <w:rFonts w:ascii="Times New Roman" w:hAnsi="Times New Roman" w:cs="Times New Roman"/>
          <w:sz w:val="24"/>
          <w:szCs w:val="24"/>
          <w:u w:val="single"/>
        </w:rPr>
        <w:t xml:space="preserve"> Cited</w:t>
      </w:r>
    </w:p>
    <w:p w14:paraId="0536308A" w14:textId="6BAB5F4F" w:rsidR="00835C7A" w:rsidRDefault="00835C7A" w:rsidP="00261681">
      <w:pPr>
        <w:spacing w:line="480" w:lineRule="auto"/>
        <w:rPr>
          <w:rFonts w:ascii="Times New Roman" w:hAnsi="Times New Roman" w:cs="Times New Roman"/>
          <w:sz w:val="24"/>
          <w:szCs w:val="24"/>
        </w:rPr>
      </w:pPr>
      <w:r w:rsidRPr="00835C7A">
        <w:rPr>
          <w:rFonts w:ascii="Times New Roman" w:eastAsiaTheme="minorEastAsia" w:hAnsi="Times New Roman" w:cs="Times New Roman"/>
          <w:sz w:val="24"/>
          <w:szCs w:val="24"/>
        </w:rPr>
        <w:t>Dock Street Brokers. &lt;</w:t>
      </w:r>
      <w:hyperlink r:id="rId6" w:history="1">
        <w:r w:rsidRPr="00835C7A">
          <w:rPr>
            <w:rStyle w:val="Hyperlink"/>
            <w:rFonts w:ascii="Times New Roman" w:hAnsi="Times New Roman" w:cs="Times New Roman"/>
            <w:sz w:val="24"/>
            <w:szCs w:val="24"/>
          </w:rPr>
          <w:t>https://dockstreetbrokers.com/permits/we</w:t>
        </w:r>
        <w:r w:rsidRPr="00835C7A">
          <w:rPr>
            <w:rStyle w:val="Hyperlink"/>
            <w:rFonts w:ascii="Times New Roman" w:hAnsi="Times New Roman" w:cs="Times New Roman"/>
            <w:sz w:val="24"/>
            <w:szCs w:val="24"/>
          </w:rPr>
          <w:t>st-coast-permits</w:t>
        </w:r>
      </w:hyperlink>
      <w:r w:rsidRPr="00835C7A">
        <w:rPr>
          <w:rFonts w:ascii="Times New Roman" w:hAnsi="Times New Roman" w:cs="Times New Roman"/>
          <w:sz w:val="24"/>
          <w:szCs w:val="24"/>
        </w:rPr>
        <w:t>&gt; Accessed May 22, 2020.</w:t>
      </w:r>
    </w:p>
    <w:p w14:paraId="2874472C" w14:textId="77777777" w:rsidR="00835C7A" w:rsidRDefault="00835C7A" w:rsidP="00261681">
      <w:pPr>
        <w:spacing w:line="480" w:lineRule="auto"/>
        <w:rPr>
          <w:rFonts w:ascii="Times New Roman" w:hAnsi="Times New Roman" w:cs="Times New Roman"/>
          <w:sz w:val="24"/>
          <w:szCs w:val="24"/>
        </w:rPr>
      </w:pPr>
    </w:p>
    <w:p w14:paraId="47179F31" w14:textId="2D2E7E2D" w:rsidR="00835C7A" w:rsidRPr="00835C7A" w:rsidRDefault="00835C7A" w:rsidP="0026168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Northwest Fi</w:t>
      </w:r>
      <w:r w:rsidRPr="00835C7A">
        <w:rPr>
          <w:rFonts w:ascii="Times New Roman" w:eastAsiaTheme="minorEastAsia" w:hAnsi="Times New Roman" w:cs="Times New Roman"/>
          <w:sz w:val="24"/>
          <w:szCs w:val="24"/>
        </w:rPr>
        <w:t>sheries Science Center. &lt;</w:t>
      </w:r>
      <w:hyperlink r:id="rId7" w:history="1">
        <w:r w:rsidRPr="00835C7A">
          <w:rPr>
            <w:rStyle w:val="Hyperlink"/>
            <w:rFonts w:ascii="Times New Roman" w:hAnsi="Times New Roman" w:cs="Times New Roman"/>
            <w:sz w:val="24"/>
            <w:szCs w:val="24"/>
          </w:rPr>
          <w:t>https://dataexplorer.northwestscience.fisheries.noaa.gov/fisheye/PerformanceMetrics/</w:t>
        </w:r>
      </w:hyperlink>
      <w:r w:rsidRPr="00835C7A">
        <w:rPr>
          <w:rFonts w:ascii="Times New Roman" w:hAnsi="Times New Roman" w:cs="Times New Roman"/>
          <w:sz w:val="24"/>
          <w:szCs w:val="24"/>
        </w:rPr>
        <w:t>&gt; Accessed May 22, 2020.</w:t>
      </w:r>
    </w:p>
    <w:p w14:paraId="296B800A" w14:textId="6C7AE883" w:rsidR="00380C48" w:rsidRPr="007B73B6" w:rsidRDefault="00261681"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33F87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1.5pt">
            <v:imagedata r:id="rId8" o:title="groundfish_check"/>
          </v:shape>
        </w:pict>
      </w:r>
    </w:p>
    <w:p w14:paraId="1C1BD7D3" w14:textId="0E4E0BD0" w:rsidR="00961196" w:rsidRPr="007B73B6" w:rsidRDefault="00675A07"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 in base</w:t>
      </w:r>
      <w:r w:rsidR="00961196" w:rsidRPr="007B73B6">
        <w:rPr>
          <w:rFonts w:ascii="Times New Roman" w:hAnsi="Times New Roman" w:cs="Times New Roman"/>
          <w:sz w:val="24"/>
          <w:szCs w:val="24"/>
        </w:rPr>
        <w:t>line</w:t>
      </w:r>
      <w:r w:rsidRPr="007B73B6">
        <w:rPr>
          <w:rFonts w:ascii="Times New Roman" w:hAnsi="Times New Roman" w:cs="Times New Roman"/>
          <w:sz w:val="24"/>
          <w:szCs w:val="24"/>
        </w:rPr>
        <w:t xml:space="preserve"> conditions. </w:t>
      </w:r>
      <w:r w:rsidR="00D90618">
        <w:rPr>
          <w:rFonts w:ascii="Times New Roman" w:hAnsi="Times New Roman" w:cs="Times New Roman"/>
          <w:sz w:val="24"/>
          <w:szCs w:val="24"/>
        </w:rPr>
        <w:t>The r</w:t>
      </w:r>
      <w:r w:rsidRPr="007B73B6">
        <w:rPr>
          <w:rFonts w:ascii="Times New Roman" w:hAnsi="Times New Roman" w:cs="Times New Roman"/>
          <w:sz w:val="24"/>
          <w:szCs w:val="24"/>
        </w:rPr>
        <w:t xml:space="preserve">ed horizontal line is average biomass across all years in all simulations, </w:t>
      </w:r>
      <w:r w:rsidR="00D90618">
        <w:rPr>
          <w:rFonts w:ascii="Times New Roman" w:hAnsi="Times New Roman" w:cs="Times New Roman"/>
          <w:sz w:val="24"/>
          <w:szCs w:val="24"/>
        </w:rPr>
        <w:t xml:space="preserve">and the </w:t>
      </w:r>
      <w:r w:rsidRPr="007B73B6">
        <w:rPr>
          <w:rFonts w:ascii="Times New Roman" w:hAnsi="Times New Roman" w:cs="Times New Roman"/>
          <w:sz w:val="24"/>
          <w:szCs w:val="24"/>
        </w:rPr>
        <w:t xml:space="preserve">blue line is GAM smoother showing biomass remains roughly stable on average. </w:t>
      </w:r>
      <w:r w:rsidR="00961196" w:rsidRPr="007B73B6">
        <w:rPr>
          <w:rFonts w:ascii="Times New Roman" w:hAnsi="Times New Roman" w:cs="Times New Roman"/>
          <w:sz w:val="24"/>
          <w:szCs w:val="24"/>
        </w:rPr>
        <w:br w:type="page"/>
      </w:r>
    </w:p>
    <w:p w14:paraId="2687BFDA" w14:textId="77777777" w:rsidR="00FA0250" w:rsidRDefault="001F5605"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4CF9D664">
          <v:shape id="_x0000_i1026" type="#_x0000_t75" style="width:5in;height:4in">
            <v:imagedata r:id="rId9" o:title="sync_access_spp"/>
          </v:shape>
        </w:pict>
      </w:r>
    </w:p>
    <w:p w14:paraId="1B7A8849" w14:textId="624CC3B7" w:rsidR="00EC1429" w:rsidRPr="007B73B6" w:rsidRDefault="00EC1429"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p>
    <w:p w14:paraId="46CB1E94" w14:textId="77777777" w:rsidR="00961196" w:rsidRPr="007B73B6" w:rsidRDefault="00961196"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1A1EC99F" w:rsidR="00EC1429" w:rsidRPr="007B73B6" w:rsidRDefault="00261681"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C2F7F5A">
          <v:shape id="_x0000_i1027" type="#_x0000_t75" style="width:468pt;height:268.5pt">
            <v:imagedata r:id="rId10"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scenarios. </w:t>
      </w:r>
      <w:r w:rsidR="00FA0250"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p>
    <w:sectPr w:rsidR="00EC1429" w:rsidRPr="007B73B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DB6DF" w16cid:durableId="2271EC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41CFF" w14:textId="77777777" w:rsidR="001F5605" w:rsidRDefault="001F5605" w:rsidP="00BA49CC">
      <w:pPr>
        <w:spacing w:after="0" w:line="240" w:lineRule="auto"/>
      </w:pPr>
      <w:r>
        <w:separator/>
      </w:r>
    </w:p>
  </w:endnote>
  <w:endnote w:type="continuationSeparator" w:id="0">
    <w:p w14:paraId="0A657828" w14:textId="77777777" w:rsidR="001F5605" w:rsidRDefault="001F5605" w:rsidP="00BA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46CDA" w14:textId="77777777" w:rsidR="001F5605" w:rsidRDefault="001F5605" w:rsidP="00BA49CC">
      <w:pPr>
        <w:spacing w:after="0" w:line="240" w:lineRule="auto"/>
      </w:pPr>
      <w:r>
        <w:separator/>
      </w:r>
    </w:p>
  </w:footnote>
  <w:footnote w:type="continuationSeparator" w:id="0">
    <w:p w14:paraId="4FA079A9" w14:textId="77777777" w:rsidR="001F5605" w:rsidRDefault="001F5605" w:rsidP="00BA4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0415C"/>
    <w:rsid w:val="00062490"/>
    <w:rsid w:val="000737E6"/>
    <w:rsid w:val="000925AC"/>
    <w:rsid w:val="001006BF"/>
    <w:rsid w:val="00136D35"/>
    <w:rsid w:val="00164444"/>
    <w:rsid w:val="001F5605"/>
    <w:rsid w:val="00223C90"/>
    <w:rsid w:val="00237D62"/>
    <w:rsid w:val="00257A51"/>
    <w:rsid w:val="00261681"/>
    <w:rsid w:val="002A4C29"/>
    <w:rsid w:val="002E2F7A"/>
    <w:rsid w:val="003048E1"/>
    <w:rsid w:val="00380C48"/>
    <w:rsid w:val="003E3000"/>
    <w:rsid w:val="003E7346"/>
    <w:rsid w:val="0040538A"/>
    <w:rsid w:val="005003D3"/>
    <w:rsid w:val="0055486B"/>
    <w:rsid w:val="005614A4"/>
    <w:rsid w:val="0057516E"/>
    <w:rsid w:val="005A516B"/>
    <w:rsid w:val="005B1AD2"/>
    <w:rsid w:val="00600B38"/>
    <w:rsid w:val="00603238"/>
    <w:rsid w:val="00610D56"/>
    <w:rsid w:val="006621EB"/>
    <w:rsid w:val="00675A07"/>
    <w:rsid w:val="006A0733"/>
    <w:rsid w:val="00760DC0"/>
    <w:rsid w:val="00787040"/>
    <w:rsid w:val="007B207D"/>
    <w:rsid w:val="007B73B6"/>
    <w:rsid w:val="007C5107"/>
    <w:rsid w:val="00835C7A"/>
    <w:rsid w:val="008A5493"/>
    <w:rsid w:val="008B7805"/>
    <w:rsid w:val="008F64E4"/>
    <w:rsid w:val="009413C8"/>
    <w:rsid w:val="009521DC"/>
    <w:rsid w:val="00961196"/>
    <w:rsid w:val="009813AC"/>
    <w:rsid w:val="00987D4A"/>
    <w:rsid w:val="00992716"/>
    <w:rsid w:val="009A7233"/>
    <w:rsid w:val="009B0DF1"/>
    <w:rsid w:val="009C140F"/>
    <w:rsid w:val="009C782F"/>
    <w:rsid w:val="009E07B4"/>
    <w:rsid w:val="00A335A9"/>
    <w:rsid w:val="00A34DCA"/>
    <w:rsid w:val="00A514DD"/>
    <w:rsid w:val="00AE1716"/>
    <w:rsid w:val="00B06B0E"/>
    <w:rsid w:val="00B124DB"/>
    <w:rsid w:val="00B6427D"/>
    <w:rsid w:val="00B70809"/>
    <w:rsid w:val="00BA49CC"/>
    <w:rsid w:val="00BE06DB"/>
    <w:rsid w:val="00C06476"/>
    <w:rsid w:val="00CC132C"/>
    <w:rsid w:val="00D55998"/>
    <w:rsid w:val="00D90618"/>
    <w:rsid w:val="00DA6FA4"/>
    <w:rsid w:val="00DC478A"/>
    <w:rsid w:val="00E1249F"/>
    <w:rsid w:val="00EB7AC9"/>
    <w:rsid w:val="00EC1429"/>
    <w:rsid w:val="00EE6682"/>
    <w:rsid w:val="00F01AA7"/>
    <w:rsid w:val="00F9327F"/>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 w:type="paragraph" w:styleId="FootnoteText">
    <w:name w:val="footnote text"/>
    <w:basedOn w:val="Normal"/>
    <w:link w:val="FootnoteTextChar"/>
    <w:uiPriority w:val="99"/>
    <w:semiHidden/>
    <w:unhideWhenUsed/>
    <w:rsid w:val="00BA4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9CC"/>
    <w:rPr>
      <w:sz w:val="20"/>
      <w:szCs w:val="20"/>
    </w:rPr>
  </w:style>
  <w:style w:type="character" w:styleId="FootnoteReference">
    <w:name w:val="footnote reference"/>
    <w:basedOn w:val="DefaultParagraphFont"/>
    <w:uiPriority w:val="99"/>
    <w:semiHidden/>
    <w:unhideWhenUsed/>
    <w:rsid w:val="00BA49CC"/>
    <w:rPr>
      <w:vertAlign w:val="superscript"/>
    </w:rPr>
  </w:style>
  <w:style w:type="character" w:styleId="PlaceholderText">
    <w:name w:val="Placeholder Text"/>
    <w:basedOn w:val="DefaultParagraphFont"/>
    <w:uiPriority w:val="99"/>
    <w:semiHidden/>
    <w:rsid w:val="00BA49CC"/>
    <w:rPr>
      <w:color w:val="808080"/>
    </w:rPr>
  </w:style>
  <w:style w:type="character" w:styleId="Hyperlink">
    <w:name w:val="Hyperlink"/>
    <w:basedOn w:val="DefaultParagraphFont"/>
    <w:uiPriority w:val="99"/>
    <w:semiHidden/>
    <w:unhideWhenUsed/>
    <w:rsid w:val="00835C7A"/>
    <w:rPr>
      <w:color w:val="0000FF"/>
      <w:u w:val="single"/>
    </w:rPr>
  </w:style>
  <w:style w:type="character" w:styleId="FollowedHyperlink">
    <w:name w:val="FollowedHyperlink"/>
    <w:basedOn w:val="DefaultParagraphFont"/>
    <w:uiPriority w:val="99"/>
    <w:semiHidden/>
    <w:unhideWhenUsed/>
    <w:rsid w:val="00835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hyperlink" Target="https://dataexplorer.northwestscience.fisheries.noaa.gov/fisheye/PerformanceMetr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kstreetbrokers.com/permits/west-coast-permi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5378</Characters>
  <Application>Microsoft Office Word</Application>
  <DocSecurity>0</DocSecurity>
  <Lines>105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2</cp:revision>
  <dcterms:created xsi:type="dcterms:W3CDTF">2020-05-22T21:11:00Z</dcterms:created>
  <dcterms:modified xsi:type="dcterms:W3CDTF">2020-05-22T21:11:00Z</dcterms:modified>
</cp:coreProperties>
</file>