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4EB7A">
      <w:pPr>
        <w:spacing w:before="1440" w:after="0"/>
      </w:pPr>
    </w:p>
    <w:p w14:paraId="02A55F88">
      <w:pPr>
        <w:spacing w:before="0" w:after="160"/>
        <w:jc w:val="center"/>
      </w:pPr>
      <w:r>
        <w:rPr>
          <w:rFonts w:ascii="Arial" w:hAnsi="Arial" w:eastAsia="Arial" w:cs="Arial"/>
          <w:b/>
          <w:bCs/>
          <w:caps/>
          <w:color w:val="000000"/>
          <w:sz w:val="44"/>
          <w:szCs w:val="44"/>
        </w:rPr>
        <w:t>PROJECT REPORT</w:t>
      </w:r>
    </w:p>
    <w:p w14:paraId="417259D8">
      <w:pPr>
        <w:pBdr>
          <w:top w:val="single" w:color="000000" w:sz="8" w:space="4"/>
          <w:bottom w:val="single" w:color="000000" w:sz="8" w:space="4"/>
        </w:pBdr>
        <w:spacing w:before="0" w:after="80"/>
        <w:jc w:val="center"/>
      </w:pPr>
      <w:r>
        <w:rPr>
          <w:rFonts w:ascii="Arial" w:hAnsi="Arial" w:eastAsia="Arial" w:cs="Arial"/>
          <w:b/>
          <w:bCs/>
          <w:color w:val="000000"/>
          <w:sz w:val="36"/>
          <w:szCs w:val="36"/>
        </w:rPr>
        <w:t>Customer Churn Prediction Using Machine Learning</w:t>
      </w:r>
    </w:p>
    <w:p w14:paraId="0A85F2F4">
      <w:pPr>
        <w:spacing w:before="200" w:after="0"/>
      </w:pPr>
    </w:p>
    <w:p w14:paraId="335A78C6">
      <w:pPr>
        <w:spacing w:before="0" w:after="80"/>
        <w:jc w:val="center"/>
      </w:pPr>
      <w:r>
        <w:rPr>
          <w:rFonts w:ascii="Arial" w:hAnsi="Arial" w:eastAsia="Arial" w:cs="Arial"/>
          <w:i/>
          <w:iCs/>
          <w:color w:val="444444"/>
          <w:sz w:val="24"/>
          <w:szCs w:val="24"/>
        </w:rPr>
        <w:t>Artificial Intelligence  |  Machine Learning  |  Data Analytics</w:t>
      </w:r>
    </w:p>
    <w:p w14:paraId="7ACBC840">
      <w:pPr>
        <w:spacing w:before="600" w:after="0"/>
      </w:pPr>
    </w:p>
    <w:p w14:paraId="61002259">
      <w:pPr>
        <w:spacing w:before="0" w:after="80"/>
        <w:jc w:val="center"/>
      </w:pPr>
      <w:r>
        <w:rPr>
          <w:rFonts w:ascii="Arial" w:hAnsi="Arial" w:eastAsia="Arial" w:cs="Arial"/>
          <w:color w:val="000000"/>
          <w:sz w:val="22"/>
          <w:szCs w:val="22"/>
        </w:rPr>
        <w:t>Submitted By:</w:t>
      </w:r>
    </w:p>
    <w:p w14:paraId="59581DE2">
      <w:pPr>
        <w:spacing w:before="0" w:after="80"/>
        <w:jc w:val="center"/>
        <w:rPr>
          <w:rFonts w:hint="default"/>
          <w:lang w:val="en-IN"/>
        </w:rPr>
      </w:pPr>
      <w:r>
        <w:rPr>
          <w:rFonts w:ascii="Arial" w:hAnsi="Arial" w:eastAsia="Arial" w:cs="Arial"/>
          <w:b/>
          <w:bCs/>
          <w:color w:val="000000"/>
          <w:sz w:val="26"/>
          <w:szCs w:val="26"/>
        </w:rPr>
        <w:t xml:space="preserve">Student — </w:t>
      </w:r>
      <w:r>
        <w:rPr>
          <w:rFonts w:hint="default" w:cs="Arial"/>
          <w:b/>
          <w:bCs/>
          <w:color w:val="000000"/>
          <w:sz w:val="26"/>
          <w:szCs w:val="26"/>
          <w:lang w:val="en-IN"/>
        </w:rPr>
        <w:t>Riddhi Mehta</w:t>
      </w:r>
    </w:p>
    <w:p w14:paraId="3B7E96BD">
      <w:pPr>
        <w:spacing w:before="120" w:after="0"/>
      </w:pPr>
    </w:p>
    <w:p w14:paraId="63A72F17">
      <w:pPr>
        <w:spacing w:before="0" w:after="80"/>
        <w:jc w:val="center"/>
      </w:pPr>
    </w:p>
    <w:p w14:paraId="68801C81">
      <w:pPr>
        <w:spacing w:before="800" w:after="0"/>
      </w:pPr>
    </w:p>
    <w:p w14:paraId="2676E028">
      <w:r>
        <w:br w:type="page"/>
      </w:r>
    </w:p>
    <w:p w14:paraId="49EF9FA6">
      <w:pPr>
        <w:pBdr>
          <w:bottom w:val="single" w:color="000000" w:sz="8" w:space="2"/>
        </w:pBdr>
        <w:spacing w:before="0" w:after="240"/>
      </w:pPr>
      <w:r>
        <w:rPr>
          <w:rFonts w:ascii="Arial" w:hAnsi="Arial" w:eastAsia="Arial" w:cs="Arial"/>
          <w:b/>
          <w:bCs/>
          <w:color w:val="000000"/>
          <w:sz w:val="32"/>
          <w:szCs w:val="32"/>
        </w:rPr>
        <w:t>Table of Contents</w:t>
      </w:r>
    </w:p>
    <w:p w14:paraId="185A38B6">
      <w:pPr>
        <w:spacing w:before="120" w:after="0"/>
      </w:pPr>
    </w:p>
    <w:p w14:paraId="458F9D06">
      <w:pPr>
        <w:tabs>
          <w:tab w:val="right" w:leader="dot" w:pos="9000"/>
        </w:tabs>
        <w:spacing w:before="60" w:after="60"/>
      </w:pPr>
      <w:r>
        <w:rPr>
          <w:rFonts w:ascii="Arial" w:hAnsi="Arial" w:eastAsia="Arial" w:cs="Arial"/>
          <w:color w:val="000000"/>
          <w:sz w:val="22"/>
          <w:szCs w:val="22"/>
        </w:rPr>
        <w:t>1.  Introduction</w:t>
      </w:r>
      <w:r>
        <w:rPr>
          <w:rFonts w:ascii="Arial" w:hAnsi="Arial" w:eastAsia="Arial" w:cs="Arial"/>
          <w:sz w:val="22"/>
          <w:szCs w:val="22"/>
        </w:rPr>
        <w:tab/>
      </w:r>
      <w:r>
        <w:rPr>
          <w:rFonts w:ascii="Arial" w:hAnsi="Arial" w:eastAsia="Arial" w:cs="Arial"/>
          <w:color w:val="000000"/>
          <w:sz w:val="22"/>
          <w:szCs w:val="22"/>
        </w:rPr>
        <w:t>3</w:t>
      </w:r>
    </w:p>
    <w:p w14:paraId="25BC0950">
      <w:pPr>
        <w:tabs>
          <w:tab w:val="right" w:leader="dot" w:pos="9000"/>
        </w:tabs>
        <w:spacing w:before="60" w:after="60"/>
      </w:pPr>
      <w:r>
        <w:rPr>
          <w:rFonts w:ascii="Arial" w:hAnsi="Arial" w:eastAsia="Arial" w:cs="Arial"/>
          <w:color w:val="000000"/>
          <w:sz w:val="22"/>
          <w:szCs w:val="22"/>
        </w:rPr>
        <w:t>1.1  Project Domain</w:t>
      </w:r>
      <w:r>
        <w:rPr>
          <w:rFonts w:ascii="Arial" w:hAnsi="Arial" w:eastAsia="Arial" w:cs="Arial"/>
          <w:sz w:val="22"/>
          <w:szCs w:val="22"/>
        </w:rPr>
        <w:tab/>
      </w:r>
      <w:r>
        <w:rPr>
          <w:rFonts w:ascii="Arial" w:hAnsi="Arial" w:eastAsia="Arial" w:cs="Arial"/>
          <w:color w:val="000000"/>
          <w:sz w:val="22"/>
          <w:szCs w:val="22"/>
        </w:rPr>
        <w:t>3</w:t>
      </w:r>
    </w:p>
    <w:p w14:paraId="0812FEED">
      <w:pPr>
        <w:tabs>
          <w:tab w:val="right" w:leader="dot" w:pos="9000"/>
        </w:tabs>
        <w:spacing w:before="60" w:after="60"/>
      </w:pPr>
      <w:r>
        <w:rPr>
          <w:rFonts w:ascii="Arial" w:hAnsi="Arial" w:eastAsia="Arial" w:cs="Arial"/>
          <w:color w:val="000000"/>
          <w:sz w:val="22"/>
          <w:szCs w:val="22"/>
        </w:rPr>
        <w:t>1.2  Project Objective</w:t>
      </w:r>
      <w:r>
        <w:rPr>
          <w:rFonts w:ascii="Arial" w:hAnsi="Arial" w:eastAsia="Arial" w:cs="Arial"/>
          <w:sz w:val="22"/>
          <w:szCs w:val="22"/>
        </w:rPr>
        <w:tab/>
      </w:r>
      <w:r>
        <w:rPr>
          <w:rFonts w:ascii="Arial" w:hAnsi="Arial" w:eastAsia="Arial" w:cs="Arial"/>
          <w:color w:val="000000"/>
          <w:sz w:val="22"/>
          <w:szCs w:val="22"/>
        </w:rPr>
        <w:t>3</w:t>
      </w:r>
    </w:p>
    <w:p w14:paraId="5061BF05">
      <w:pPr>
        <w:tabs>
          <w:tab w:val="right" w:leader="dot" w:pos="9000"/>
        </w:tabs>
        <w:spacing w:before="60" w:after="60"/>
      </w:pPr>
      <w:r>
        <w:rPr>
          <w:rFonts w:ascii="Arial" w:hAnsi="Arial" w:eastAsia="Arial" w:cs="Arial"/>
          <w:color w:val="000000"/>
          <w:sz w:val="22"/>
          <w:szCs w:val="22"/>
        </w:rPr>
        <w:t>2.  Problem Statement</w:t>
      </w:r>
      <w:r>
        <w:rPr>
          <w:rFonts w:ascii="Arial" w:hAnsi="Arial" w:eastAsia="Arial" w:cs="Arial"/>
          <w:sz w:val="22"/>
          <w:szCs w:val="22"/>
        </w:rPr>
        <w:tab/>
      </w:r>
      <w:r>
        <w:rPr>
          <w:rFonts w:ascii="Arial" w:hAnsi="Arial" w:eastAsia="Arial" w:cs="Arial"/>
          <w:color w:val="000000"/>
          <w:sz w:val="22"/>
          <w:szCs w:val="22"/>
        </w:rPr>
        <w:t>4</w:t>
      </w:r>
    </w:p>
    <w:p w14:paraId="1BB8C020">
      <w:pPr>
        <w:tabs>
          <w:tab w:val="right" w:leader="dot" w:pos="9000"/>
        </w:tabs>
        <w:spacing w:before="60" w:after="60"/>
      </w:pPr>
      <w:r>
        <w:rPr>
          <w:rFonts w:ascii="Arial" w:hAnsi="Arial" w:eastAsia="Arial" w:cs="Arial"/>
          <w:color w:val="000000"/>
          <w:sz w:val="22"/>
          <w:szCs w:val="22"/>
        </w:rPr>
        <w:t>3.  Dataset Description</w:t>
      </w:r>
      <w:r>
        <w:rPr>
          <w:rFonts w:ascii="Arial" w:hAnsi="Arial" w:eastAsia="Arial" w:cs="Arial"/>
          <w:sz w:val="22"/>
          <w:szCs w:val="22"/>
        </w:rPr>
        <w:tab/>
      </w:r>
      <w:r>
        <w:rPr>
          <w:rFonts w:ascii="Arial" w:hAnsi="Arial" w:eastAsia="Arial" w:cs="Arial"/>
          <w:color w:val="000000"/>
          <w:sz w:val="22"/>
          <w:szCs w:val="22"/>
        </w:rPr>
        <w:t>4</w:t>
      </w:r>
    </w:p>
    <w:p w14:paraId="4AA7F779">
      <w:pPr>
        <w:tabs>
          <w:tab w:val="right" w:leader="dot" w:pos="9000"/>
        </w:tabs>
        <w:spacing w:before="60" w:after="60"/>
      </w:pPr>
      <w:r>
        <w:rPr>
          <w:rFonts w:ascii="Arial" w:hAnsi="Arial" w:eastAsia="Arial" w:cs="Arial"/>
          <w:color w:val="000000"/>
          <w:sz w:val="22"/>
          <w:szCs w:val="22"/>
        </w:rPr>
        <w:t>3.1  Dataset Summary</w:t>
      </w:r>
      <w:r>
        <w:rPr>
          <w:rFonts w:ascii="Arial" w:hAnsi="Arial" w:eastAsia="Arial" w:cs="Arial"/>
          <w:sz w:val="22"/>
          <w:szCs w:val="22"/>
        </w:rPr>
        <w:tab/>
      </w:r>
      <w:r>
        <w:rPr>
          <w:rFonts w:ascii="Arial" w:hAnsi="Arial" w:eastAsia="Arial" w:cs="Arial"/>
          <w:color w:val="000000"/>
          <w:sz w:val="22"/>
          <w:szCs w:val="22"/>
        </w:rPr>
        <w:t>4</w:t>
      </w:r>
    </w:p>
    <w:p w14:paraId="589B49A5">
      <w:pPr>
        <w:tabs>
          <w:tab w:val="right" w:leader="dot" w:pos="9000"/>
        </w:tabs>
        <w:spacing w:before="60" w:after="60"/>
      </w:pPr>
      <w:r>
        <w:rPr>
          <w:rFonts w:ascii="Arial" w:hAnsi="Arial" w:eastAsia="Arial" w:cs="Arial"/>
          <w:color w:val="000000"/>
          <w:sz w:val="22"/>
          <w:szCs w:val="22"/>
        </w:rPr>
        <w:t>3.2  Feature Descriptions</w:t>
      </w:r>
      <w:r>
        <w:rPr>
          <w:rFonts w:ascii="Arial" w:hAnsi="Arial" w:eastAsia="Arial" w:cs="Arial"/>
          <w:sz w:val="22"/>
          <w:szCs w:val="22"/>
        </w:rPr>
        <w:tab/>
      </w:r>
      <w:r>
        <w:rPr>
          <w:rFonts w:ascii="Arial" w:hAnsi="Arial" w:eastAsia="Arial" w:cs="Arial"/>
          <w:color w:val="000000"/>
          <w:sz w:val="22"/>
          <w:szCs w:val="22"/>
        </w:rPr>
        <w:t>5</w:t>
      </w:r>
    </w:p>
    <w:p w14:paraId="6D8A7427">
      <w:pPr>
        <w:tabs>
          <w:tab w:val="right" w:leader="dot" w:pos="9000"/>
        </w:tabs>
        <w:spacing w:before="60" w:after="60"/>
      </w:pPr>
      <w:r>
        <w:rPr>
          <w:rFonts w:ascii="Arial" w:hAnsi="Arial" w:eastAsia="Arial" w:cs="Arial"/>
          <w:color w:val="000000"/>
          <w:sz w:val="22"/>
          <w:szCs w:val="22"/>
        </w:rPr>
        <w:t>4.  Technologies &amp; Tools Used</w:t>
      </w:r>
      <w:r>
        <w:rPr>
          <w:rFonts w:ascii="Arial" w:hAnsi="Arial" w:eastAsia="Arial" w:cs="Arial"/>
          <w:sz w:val="22"/>
          <w:szCs w:val="22"/>
        </w:rPr>
        <w:tab/>
      </w:r>
      <w:r>
        <w:rPr>
          <w:rFonts w:ascii="Arial" w:hAnsi="Arial" w:eastAsia="Arial" w:cs="Arial"/>
          <w:color w:val="000000"/>
          <w:sz w:val="22"/>
          <w:szCs w:val="22"/>
        </w:rPr>
        <w:t>5</w:t>
      </w:r>
    </w:p>
    <w:p w14:paraId="6B4CE8BA">
      <w:pPr>
        <w:tabs>
          <w:tab w:val="right" w:leader="dot" w:pos="9000"/>
        </w:tabs>
        <w:spacing w:before="60" w:after="60"/>
      </w:pPr>
      <w:r>
        <w:rPr>
          <w:rFonts w:ascii="Arial" w:hAnsi="Arial" w:eastAsia="Arial" w:cs="Arial"/>
          <w:color w:val="000000"/>
          <w:sz w:val="22"/>
          <w:szCs w:val="22"/>
        </w:rPr>
        <w:t>4.1  Programming Language &amp; Environment</w:t>
      </w:r>
      <w:r>
        <w:rPr>
          <w:rFonts w:ascii="Arial" w:hAnsi="Arial" w:eastAsia="Arial" w:cs="Arial"/>
          <w:sz w:val="22"/>
          <w:szCs w:val="22"/>
        </w:rPr>
        <w:tab/>
      </w:r>
      <w:r>
        <w:rPr>
          <w:rFonts w:ascii="Arial" w:hAnsi="Arial" w:eastAsia="Arial" w:cs="Arial"/>
          <w:color w:val="000000"/>
          <w:sz w:val="22"/>
          <w:szCs w:val="22"/>
        </w:rPr>
        <w:t>5</w:t>
      </w:r>
    </w:p>
    <w:p w14:paraId="19EB9965">
      <w:pPr>
        <w:tabs>
          <w:tab w:val="right" w:leader="dot" w:pos="9000"/>
        </w:tabs>
        <w:spacing w:before="60" w:after="60"/>
      </w:pPr>
      <w:r>
        <w:rPr>
          <w:rFonts w:ascii="Arial" w:hAnsi="Arial" w:eastAsia="Arial" w:cs="Arial"/>
          <w:color w:val="000000"/>
          <w:sz w:val="22"/>
          <w:szCs w:val="22"/>
        </w:rPr>
        <w:t>4.2  Python Libraries</w:t>
      </w:r>
      <w:r>
        <w:rPr>
          <w:rFonts w:ascii="Arial" w:hAnsi="Arial" w:eastAsia="Arial" w:cs="Arial"/>
          <w:sz w:val="22"/>
          <w:szCs w:val="22"/>
        </w:rPr>
        <w:tab/>
      </w:r>
      <w:r>
        <w:rPr>
          <w:rFonts w:ascii="Arial" w:hAnsi="Arial" w:eastAsia="Arial" w:cs="Arial"/>
          <w:color w:val="000000"/>
          <w:sz w:val="22"/>
          <w:szCs w:val="22"/>
        </w:rPr>
        <w:t>6</w:t>
      </w:r>
    </w:p>
    <w:p w14:paraId="690767D8">
      <w:pPr>
        <w:tabs>
          <w:tab w:val="right" w:leader="dot" w:pos="9000"/>
        </w:tabs>
        <w:spacing w:before="60" w:after="60"/>
      </w:pPr>
      <w:r>
        <w:rPr>
          <w:rFonts w:ascii="Arial" w:hAnsi="Arial" w:eastAsia="Arial" w:cs="Arial"/>
          <w:color w:val="000000"/>
          <w:sz w:val="22"/>
          <w:szCs w:val="22"/>
        </w:rPr>
        <w:t>5.  Project Workflow</w:t>
      </w:r>
      <w:r>
        <w:rPr>
          <w:rFonts w:ascii="Arial" w:hAnsi="Arial" w:eastAsia="Arial" w:cs="Arial"/>
          <w:sz w:val="22"/>
          <w:szCs w:val="22"/>
        </w:rPr>
        <w:tab/>
      </w:r>
      <w:r>
        <w:rPr>
          <w:rFonts w:ascii="Arial" w:hAnsi="Arial" w:eastAsia="Arial" w:cs="Arial"/>
          <w:color w:val="000000"/>
          <w:sz w:val="22"/>
          <w:szCs w:val="22"/>
        </w:rPr>
        <w:t>6</w:t>
      </w:r>
    </w:p>
    <w:p w14:paraId="779A0BA4">
      <w:pPr>
        <w:tabs>
          <w:tab w:val="right" w:leader="dot" w:pos="9000"/>
        </w:tabs>
        <w:spacing w:before="60" w:after="60"/>
      </w:pPr>
      <w:r>
        <w:rPr>
          <w:rFonts w:ascii="Arial" w:hAnsi="Arial" w:eastAsia="Arial" w:cs="Arial"/>
          <w:color w:val="000000"/>
          <w:sz w:val="22"/>
          <w:szCs w:val="22"/>
        </w:rPr>
        <w:t>6.  Exploratory Data Analysis (EDA)</w:t>
      </w:r>
      <w:r>
        <w:rPr>
          <w:rFonts w:ascii="Arial" w:hAnsi="Arial" w:eastAsia="Arial" w:cs="Arial"/>
          <w:sz w:val="22"/>
          <w:szCs w:val="22"/>
        </w:rPr>
        <w:tab/>
      </w:r>
      <w:r>
        <w:rPr>
          <w:rFonts w:ascii="Arial" w:hAnsi="Arial" w:eastAsia="Arial" w:cs="Arial"/>
          <w:color w:val="000000"/>
          <w:sz w:val="22"/>
          <w:szCs w:val="22"/>
        </w:rPr>
        <w:t>8</w:t>
      </w:r>
    </w:p>
    <w:p w14:paraId="33D9B5D0">
      <w:pPr>
        <w:tabs>
          <w:tab w:val="right" w:leader="dot" w:pos="9000"/>
        </w:tabs>
        <w:spacing w:before="60" w:after="60"/>
      </w:pPr>
      <w:r>
        <w:rPr>
          <w:rFonts w:ascii="Arial" w:hAnsi="Arial" w:eastAsia="Arial" w:cs="Arial"/>
          <w:color w:val="000000"/>
          <w:sz w:val="22"/>
          <w:szCs w:val="22"/>
        </w:rPr>
        <w:t>7.  Model Training &amp; Evaluation</w:t>
      </w:r>
      <w:r>
        <w:rPr>
          <w:rFonts w:ascii="Arial" w:hAnsi="Arial" w:eastAsia="Arial" w:cs="Arial"/>
          <w:sz w:val="22"/>
          <w:szCs w:val="22"/>
        </w:rPr>
        <w:tab/>
      </w:r>
      <w:r>
        <w:rPr>
          <w:rFonts w:ascii="Arial" w:hAnsi="Arial" w:eastAsia="Arial" w:cs="Arial"/>
          <w:color w:val="000000"/>
          <w:sz w:val="22"/>
          <w:szCs w:val="22"/>
        </w:rPr>
        <w:t>9</w:t>
      </w:r>
    </w:p>
    <w:p w14:paraId="4B2EE359">
      <w:pPr>
        <w:tabs>
          <w:tab w:val="right" w:leader="dot" w:pos="9000"/>
        </w:tabs>
        <w:spacing w:before="60" w:after="60"/>
      </w:pPr>
      <w:r>
        <w:rPr>
          <w:rFonts w:ascii="Arial" w:hAnsi="Arial" w:eastAsia="Arial" w:cs="Arial"/>
          <w:color w:val="000000"/>
          <w:sz w:val="22"/>
          <w:szCs w:val="22"/>
        </w:rPr>
        <w:t>7.1  Machine Learning Algorithms</w:t>
      </w:r>
      <w:r>
        <w:rPr>
          <w:rFonts w:ascii="Arial" w:hAnsi="Arial" w:eastAsia="Arial" w:cs="Arial"/>
          <w:sz w:val="22"/>
          <w:szCs w:val="22"/>
        </w:rPr>
        <w:tab/>
      </w:r>
      <w:r>
        <w:rPr>
          <w:rFonts w:ascii="Arial" w:hAnsi="Arial" w:eastAsia="Arial" w:cs="Arial"/>
          <w:color w:val="000000"/>
          <w:sz w:val="22"/>
          <w:szCs w:val="22"/>
        </w:rPr>
        <w:t>9</w:t>
      </w:r>
    </w:p>
    <w:p w14:paraId="35A93AF2">
      <w:pPr>
        <w:tabs>
          <w:tab w:val="right" w:leader="dot" w:pos="9000"/>
        </w:tabs>
        <w:spacing w:before="60" w:after="60"/>
      </w:pPr>
      <w:r>
        <w:rPr>
          <w:rFonts w:ascii="Arial" w:hAnsi="Arial" w:eastAsia="Arial" w:cs="Arial"/>
          <w:color w:val="000000"/>
          <w:sz w:val="22"/>
          <w:szCs w:val="22"/>
        </w:rPr>
        <w:t>7.2  Model Performance Results</w:t>
      </w:r>
      <w:r>
        <w:rPr>
          <w:rFonts w:ascii="Arial" w:hAnsi="Arial" w:eastAsia="Arial" w:cs="Arial"/>
          <w:sz w:val="22"/>
          <w:szCs w:val="22"/>
        </w:rPr>
        <w:tab/>
      </w:r>
      <w:r>
        <w:rPr>
          <w:rFonts w:ascii="Arial" w:hAnsi="Arial" w:eastAsia="Arial" w:cs="Arial"/>
          <w:color w:val="000000"/>
          <w:sz w:val="22"/>
          <w:szCs w:val="22"/>
        </w:rPr>
        <w:t>10</w:t>
      </w:r>
    </w:p>
    <w:p w14:paraId="1C4B17AB">
      <w:pPr>
        <w:tabs>
          <w:tab w:val="right" w:leader="dot" w:pos="9000"/>
        </w:tabs>
        <w:spacing w:before="60" w:after="60"/>
      </w:pPr>
      <w:r>
        <w:rPr>
          <w:rFonts w:ascii="Arial" w:hAnsi="Arial" w:eastAsia="Arial" w:cs="Arial"/>
          <w:color w:val="000000"/>
          <w:sz w:val="22"/>
          <w:szCs w:val="22"/>
        </w:rPr>
        <w:t>7.3–7.6  Confusion Matrices, ROC Curves, Comparison, Feature Importance</w:t>
      </w:r>
      <w:r>
        <w:rPr>
          <w:rFonts w:ascii="Arial" w:hAnsi="Arial" w:eastAsia="Arial" w:cs="Arial"/>
          <w:sz w:val="22"/>
          <w:szCs w:val="22"/>
        </w:rPr>
        <w:tab/>
      </w:r>
      <w:r>
        <w:rPr>
          <w:rFonts w:ascii="Arial" w:hAnsi="Arial" w:eastAsia="Arial" w:cs="Arial"/>
          <w:color w:val="000000"/>
          <w:sz w:val="22"/>
          <w:szCs w:val="22"/>
        </w:rPr>
        <w:t>10</w:t>
      </w:r>
    </w:p>
    <w:p w14:paraId="1ED4BF96">
      <w:pPr>
        <w:tabs>
          <w:tab w:val="right" w:leader="dot" w:pos="9000"/>
        </w:tabs>
        <w:spacing w:before="60" w:after="60"/>
      </w:pPr>
      <w:r>
        <w:rPr>
          <w:rFonts w:ascii="Arial" w:hAnsi="Arial" w:eastAsia="Arial" w:cs="Arial"/>
          <w:color w:val="000000"/>
          <w:sz w:val="22"/>
          <w:szCs w:val="22"/>
        </w:rPr>
        <w:t>8.  Prediction &amp; Results</w:t>
      </w:r>
      <w:r>
        <w:rPr>
          <w:rFonts w:ascii="Arial" w:hAnsi="Arial" w:eastAsia="Arial" w:cs="Arial"/>
          <w:sz w:val="22"/>
          <w:szCs w:val="22"/>
        </w:rPr>
        <w:tab/>
      </w:r>
      <w:r>
        <w:rPr>
          <w:rFonts w:ascii="Arial" w:hAnsi="Arial" w:eastAsia="Arial" w:cs="Arial"/>
          <w:color w:val="000000"/>
          <w:sz w:val="22"/>
          <w:szCs w:val="22"/>
        </w:rPr>
        <w:t>11</w:t>
      </w:r>
    </w:p>
    <w:p w14:paraId="70E780E6">
      <w:pPr>
        <w:tabs>
          <w:tab w:val="right" w:leader="dot" w:pos="9000"/>
        </w:tabs>
        <w:spacing w:before="60" w:after="60"/>
      </w:pPr>
      <w:r>
        <w:rPr>
          <w:rFonts w:ascii="Arial" w:hAnsi="Arial" w:eastAsia="Arial" w:cs="Arial"/>
          <w:color w:val="000000"/>
          <w:sz w:val="22"/>
          <w:szCs w:val="22"/>
        </w:rPr>
        <w:t>9.  Deployment</w:t>
      </w:r>
      <w:r>
        <w:rPr>
          <w:rFonts w:ascii="Arial" w:hAnsi="Arial" w:eastAsia="Arial" w:cs="Arial"/>
          <w:sz w:val="22"/>
          <w:szCs w:val="22"/>
        </w:rPr>
        <w:tab/>
      </w:r>
      <w:r>
        <w:rPr>
          <w:rFonts w:ascii="Arial" w:hAnsi="Arial" w:eastAsia="Arial" w:cs="Arial"/>
          <w:color w:val="000000"/>
          <w:sz w:val="22"/>
          <w:szCs w:val="22"/>
        </w:rPr>
        <w:t>11</w:t>
      </w:r>
    </w:p>
    <w:p w14:paraId="33802AD4">
      <w:pPr>
        <w:tabs>
          <w:tab w:val="right" w:leader="dot" w:pos="9000"/>
        </w:tabs>
        <w:spacing w:before="60" w:after="60"/>
      </w:pPr>
      <w:r>
        <w:rPr>
          <w:rFonts w:ascii="Arial" w:hAnsi="Arial" w:eastAsia="Arial" w:cs="Arial"/>
          <w:color w:val="000000"/>
          <w:sz w:val="22"/>
          <w:szCs w:val="22"/>
        </w:rPr>
        <w:t>10.  Learning Outcomes</w:t>
      </w:r>
      <w:r>
        <w:rPr>
          <w:rFonts w:ascii="Arial" w:hAnsi="Arial" w:eastAsia="Arial" w:cs="Arial"/>
          <w:sz w:val="22"/>
          <w:szCs w:val="22"/>
        </w:rPr>
        <w:tab/>
      </w:r>
      <w:r>
        <w:rPr>
          <w:rFonts w:ascii="Arial" w:hAnsi="Arial" w:eastAsia="Arial" w:cs="Arial"/>
          <w:color w:val="000000"/>
          <w:sz w:val="22"/>
          <w:szCs w:val="22"/>
        </w:rPr>
        <w:t>12</w:t>
      </w:r>
    </w:p>
    <w:p w14:paraId="06BD6941">
      <w:pPr>
        <w:tabs>
          <w:tab w:val="right" w:leader="dot" w:pos="9000"/>
        </w:tabs>
        <w:spacing w:before="60" w:after="60"/>
      </w:pPr>
      <w:r>
        <w:rPr>
          <w:rFonts w:ascii="Arial" w:hAnsi="Arial" w:eastAsia="Arial" w:cs="Arial"/>
          <w:color w:val="000000"/>
          <w:sz w:val="22"/>
          <w:szCs w:val="22"/>
        </w:rPr>
        <w:t>11.  Future Scope</w:t>
      </w:r>
      <w:r>
        <w:rPr>
          <w:rFonts w:ascii="Arial" w:hAnsi="Arial" w:eastAsia="Arial" w:cs="Arial"/>
          <w:sz w:val="22"/>
          <w:szCs w:val="22"/>
        </w:rPr>
        <w:tab/>
      </w:r>
      <w:r>
        <w:rPr>
          <w:rFonts w:ascii="Arial" w:hAnsi="Arial" w:eastAsia="Arial" w:cs="Arial"/>
          <w:color w:val="000000"/>
          <w:sz w:val="22"/>
          <w:szCs w:val="22"/>
        </w:rPr>
        <w:t>13</w:t>
      </w:r>
    </w:p>
    <w:p w14:paraId="427451A5">
      <w:pPr>
        <w:tabs>
          <w:tab w:val="right" w:leader="dot" w:pos="9000"/>
        </w:tabs>
        <w:spacing w:before="60" w:after="60"/>
      </w:pPr>
      <w:r>
        <w:rPr>
          <w:rFonts w:ascii="Arial" w:hAnsi="Arial" w:eastAsia="Arial" w:cs="Arial"/>
          <w:color w:val="000000"/>
          <w:sz w:val="22"/>
          <w:szCs w:val="22"/>
        </w:rPr>
        <w:t>12.  Conclusion</w:t>
      </w:r>
      <w:r>
        <w:rPr>
          <w:rFonts w:ascii="Arial" w:hAnsi="Arial" w:eastAsia="Arial" w:cs="Arial"/>
          <w:sz w:val="22"/>
          <w:szCs w:val="22"/>
        </w:rPr>
        <w:tab/>
      </w:r>
      <w:r>
        <w:rPr>
          <w:rFonts w:ascii="Arial" w:hAnsi="Arial" w:eastAsia="Arial" w:cs="Arial"/>
          <w:color w:val="000000"/>
          <w:sz w:val="22"/>
          <w:szCs w:val="22"/>
        </w:rPr>
        <w:t>14</w:t>
      </w:r>
    </w:p>
    <w:p w14:paraId="64AEBE18">
      <w:r>
        <w:br w:type="page"/>
      </w:r>
    </w:p>
    <w:p w14:paraId="13363E24">
      <w:pPr>
        <w:pStyle w:val="2"/>
        <w:pBdr>
          <w:bottom w:val="single" w:color="000000" w:sz="6" w:space="1"/>
        </w:pBdr>
        <w:spacing w:before="360" w:after="120"/>
      </w:pPr>
      <w:r>
        <w:rPr>
          <w:rFonts w:ascii="Arial" w:hAnsi="Arial" w:eastAsia="Arial" w:cs="Arial"/>
          <w:b/>
          <w:bCs/>
          <w:color w:val="000000"/>
          <w:sz w:val="32"/>
          <w:szCs w:val="32"/>
        </w:rPr>
        <w:t>1.  Introduction</w:t>
      </w:r>
    </w:p>
    <w:p w14:paraId="1B2A0B11">
      <w:pPr>
        <w:spacing w:before="80" w:after="100" w:line="300" w:lineRule="auto"/>
        <w:jc w:val="both"/>
      </w:pPr>
      <w:r>
        <w:rPr>
          <w:rFonts w:ascii="Arial" w:hAnsi="Arial" w:eastAsia="Arial" w:cs="Arial"/>
          <w:b w:val="0"/>
          <w:bCs w:val="0"/>
          <w:i w:val="0"/>
          <w:iCs w:val="0"/>
          <w:color w:val="000000"/>
          <w:sz w:val="22"/>
          <w:szCs w:val="22"/>
        </w:rPr>
        <w:t>In today's fiercely competitive business environment, retaining existing customers is far more cost-effective than acquiring new ones. Studies have consistently shown that acquiring a new customer can cost five to seven times more than retaining an existing one. This makes customer churn — the phenomenon where customers discontinue their relationship with a company — one of the most critical challenges faced by businesses across sectors including telecommunications, banking, retail, insurance, and subscription-based services.</w:t>
      </w:r>
    </w:p>
    <w:p w14:paraId="57F570B5">
      <w:pPr>
        <w:spacing w:before="80" w:after="100" w:line="300" w:lineRule="auto"/>
        <w:jc w:val="both"/>
      </w:pPr>
      <w:r>
        <w:rPr>
          <w:rFonts w:ascii="Arial" w:hAnsi="Arial" w:eastAsia="Arial" w:cs="Arial"/>
          <w:b w:val="0"/>
          <w:bCs w:val="0"/>
          <w:i w:val="0"/>
          <w:iCs w:val="0"/>
          <w:color w:val="000000"/>
          <w:sz w:val="22"/>
          <w:szCs w:val="22"/>
        </w:rPr>
        <w:t>Customer Churn Prediction is the process of using historical customer data and Machine Learning algorithms to identify customers who are likely to stop using a product or service in the near future. By predicting churn proactively, businesses can deploy targeted retention strategies such as personalised offers, proactive customer support, loyalty programmes, or contract incentives — before the customer actually leaves.</w:t>
      </w:r>
    </w:p>
    <w:p w14:paraId="217DF25F">
      <w:pPr>
        <w:spacing w:before="80" w:after="100" w:line="300" w:lineRule="auto"/>
        <w:jc w:val="both"/>
      </w:pPr>
      <w:r>
        <w:rPr>
          <w:rFonts w:ascii="Arial" w:hAnsi="Arial" w:eastAsia="Arial" w:cs="Arial"/>
          <w:b w:val="0"/>
          <w:bCs w:val="0"/>
          <w:i w:val="0"/>
          <w:iCs w:val="0"/>
          <w:color w:val="000000"/>
          <w:sz w:val="22"/>
          <w:szCs w:val="22"/>
        </w:rPr>
        <w:t>This project presents a comprehensive end-to-end Machine Learning pipeline for Customer Churn Prediction. It encompasses data collection, exploratory data analysis, feature engineering, training and comparing multiple classification algorithms, evaluating their performance using standard metrics, and deploying the best-performing model for real-time prediction. The project demonstrates the full data science lifecycle, from raw data to actionable business intelligence.</w:t>
      </w:r>
    </w:p>
    <w:p w14:paraId="2EA525D4">
      <w:pPr>
        <w:pStyle w:val="3"/>
        <w:spacing w:before="240" w:after="80"/>
      </w:pPr>
      <w:r>
        <w:rPr>
          <w:rFonts w:ascii="Arial" w:hAnsi="Arial" w:eastAsia="Arial" w:cs="Arial"/>
          <w:b/>
          <w:bCs/>
          <w:color w:val="000000"/>
          <w:sz w:val="26"/>
          <w:szCs w:val="26"/>
        </w:rPr>
        <w:t>1.1  Project Domain</w:t>
      </w:r>
    </w:p>
    <w:p w14:paraId="59CF573C">
      <w:pPr>
        <w:spacing w:before="80" w:after="100" w:line="300" w:lineRule="auto"/>
        <w:jc w:val="both"/>
      </w:pPr>
      <w:r>
        <w:rPr>
          <w:rFonts w:ascii="Arial" w:hAnsi="Arial" w:eastAsia="Arial" w:cs="Arial"/>
          <w:b w:val="0"/>
          <w:bCs w:val="0"/>
          <w:i w:val="0"/>
          <w:iCs w:val="0"/>
          <w:color w:val="000000"/>
          <w:sz w:val="22"/>
          <w:szCs w:val="22"/>
        </w:rPr>
        <w:t>This project belongs to the domain of Artificial Intelligence (AI), Machine Learning (ML), and Data Analytics. It bridges the gap between raw transactional data and strategic business decision-making by leveraging the power of supervised learning classification techniques.</w:t>
      </w:r>
    </w:p>
    <w:p w14:paraId="6EA68184">
      <w:pPr>
        <w:pStyle w:val="3"/>
        <w:spacing w:before="240" w:after="80"/>
      </w:pPr>
      <w:r>
        <w:rPr>
          <w:rFonts w:ascii="Arial" w:hAnsi="Arial" w:eastAsia="Arial" w:cs="Arial"/>
          <w:b/>
          <w:bCs/>
          <w:color w:val="000000"/>
          <w:sz w:val="26"/>
          <w:szCs w:val="26"/>
        </w:rPr>
        <w:t>1.2  Project Objective</w:t>
      </w:r>
    </w:p>
    <w:p w14:paraId="2495D6F1">
      <w:pPr>
        <w:spacing w:before="80" w:after="100" w:line="300" w:lineRule="auto"/>
        <w:jc w:val="both"/>
      </w:pPr>
      <w:r>
        <w:rPr>
          <w:rFonts w:ascii="Arial" w:hAnsi="Arial" w:eastAsia="Arial" w:cs="Arial"/>
          <w:b w:val="0"/>
          <w:bCs w:val="0"/>
          <w:i w:val="0"/>
          <w:iCs w:val="0"/>
          <w:color w:val="000000"/>
          <w:sz w:val="22"/>
          <w:szCs w:val="22"/>
        </w:rPr>
        <w:t>The primary objective of this project is to build a robust, accurate, and interpretable Machine Learning model that can predict whether a customer is likely to churn based on their historical interaction and billing data. Specific objectives include:</w:t>
      </w:r>
    </w:p>
    <w:p w14:paraId="2B0A5890">
      <w:pPr>
        <w:pStyle w:val="16"/>
        <w:numPr>
          <w:ilvl w:val="0"/>
          <w:numId w:val="1"/>
        </w:numPr>
        <w:spacing w:before="60" w:after="60" w:line="280" w:lineRule="auto"/>
      </w:pPr>
      <w:r>
        <w:rPr>
          <w:rFonts w:ascii="Arial" w:hAnsi="Arial" w:eastAsia="Arial" w:cs="Arial"/>
          <w:color w:val="000000"/>
          <w:sz w:val="22"/>
          <w:szCs w:val="22"/>
        </w:rPr>
        <w:t>Analyse customer data to identify patterns and features associated with churn behaviour.</w:t>
      </w:r>
    </w:p>
    <w:p w14:paraId="1D0224E2">
      <w:pPr>
        <w:pStyle w:val="16"/>
        <w:numPr>
          <w:ilvl w:val="0"/>
          <w:numId w:val="1"/>
        </w:numPr>
        <w:spacing w:before="60" w:after="60" w:line="280" w:lineRule="auto"/>
      </w:pPr>
      <w:r>
        <w:rPr>
          <w:rFonts w:ascii="Arial" w:hAnsi="Arial" w:eastAsia="Arial" w:cs="Arial"/>
          <w:color w:val="000000"/>
          <w:sz w:val="22"/>
          <w:szCs w:val="22"/>
        </w:rPr>
        <w:t>Build and compare multiple classification models — Logistic Regression, Decision Tree, Random Forest, and XGBoost.</w:t>
      </w:r>
    </w:p>
    <w:p w14:paraId="52FDD675">
      <w:pPr>
        <w:pStyle w:val="16"/>
        <w:numPr>
          <w:ilvl w:val="0"/>
          <w:numId w:val="1"/>
        </w:numPr>
        <w:spacing w:before="60" w:after="60" w:line="280" w:lineRule="auto"/>
      </w:pPr>
      <w:r>
        <w:rPr>
          <w:rFonts w:ascii="Arial" w:hAnsi="Arial" w:eastAsia="Arial" w:cs="Arial"/>
          <w:color w:val="000000"/>
          <w:sz w:val="22"/>
          <w:szCs w:val="22"/>
        </w:rPr>
        <w:t>Evaluate each model using comprehensive metrics: Accuracy, Precision, Recall, F1 Score, and ROC-AUC.</w:t>
      </w:r>
    </w:p>
    <w:p w14:paraId="660F5BB1">
      <w:pPr>
        <w:pStyle w:val="16"/>
        <w:numPr>
          <w:ilvl w:val="0"/>
          <w:numId w:val="1"/>
        </w:numPr>
        <w:spacing w:before="60" w:after="60" w:line="280" w:lineRule="auto"/>
      </w:pPr>
      <w:r>
        <w:rPr>
          <w:rFonts w:ascii="Arial" w:hAnsi="Arial" w:eastAsia="Arial" w:cs="Arial"/>
          <w:color w:val="000000"/>
          <w:sz w:val="22"/>
          <w:szCs w:val="22"/>
        </w:rPr>
        <w:t>Identify the most important features that drive churn decisions.</w:t>
      </w:r>
    </w:p>
    <w:p w14:paraId="16EBEDD5">
      <w:pPr>
        <w:pStyle w:val="16"/>
        <w:numPr>
          <w:ilvl w:val="0"/>
          <w:numId w:val="1"/>
        </w:numPr>
        <w:spacing w:before="60" w:after="60" w:line="280" w:lineRule="auto"/>
      </w:pPr>
      <w:r>
        <w:rPr>
          <w:rFonts w:ascii="Arial" w:hAnsi="Arial" w:eastAsia="Arial" w:cs="Arial"/>
          <w:color w:val="000000"/>
          <w:sz w:val="22"/>
          <w:szCs w:val="22"/>
        </w:rPr>
        <w:t>Classify customers into risk tiers (Low, Medium, High) to enable prioritised retention actions.</w:t>
      </w:r>
    </w:p>
    <w:p w14:paraId="4E631DE9">
      <w:pPr>
        <w:pStyle w:val="16"/>
        <w:numPr>
          <w:ilvl w:val="0"/>
          <w:numId w:val="1"/>
        </w:numPr>
        <w:spacing w:before="60" w:after="60" w:line="280" w:lineRule="auto"/>
      </w:pPr>
      <w:r>
        <w:rPr>
          <w:rFonts w:ascii="Arial" w:hAnsi="Arial" w:eastAsia="Arial" w:cs="Arial"/>
          <w:color w:val="000000"/>
          <w:sz w:val="22"/>
          <w:szCs w:val="22"/>
        </w:rPr>
        <w:t>Deploy the best model to predict churn for new, unseen customers in real time.</w:t>
      </w:r>
    </w:p>
    <w:p w14:paraId="222F6AE0">
      <w:pPr>
        <w:pStyle w:val="2"/>
        <w:pBdr>
          <w:bottom w:val="single" w:color="000000" w:sz="6" w:space="1"/>
        </w:pBdr>
        <w:spacing w:before="360" w:after="120"/>
      </w:pPr>
      <w:r>
        <w:rPr>
          <w:rFonts w:ascii="Arial" w:hAnsi="Arial" w:eastAsia="Arial" w:cs="Arial"/>
          <w:b/>
          <w:bCs/>
          <w:color w:val="000000"/>
          <w:sz w:val="32"/>
          <w:szCs w:val="32"/>
        </w:rPr>
        <w:t>2.  Problem Statement</w:t>
      </w:r>
    </w:p>
    <w:p w14:paraId="7CE52BEA">
      <w:pPr>
        <w:spacing w:before="80" w:after="100" w:line="300" w:lineRule="auto"/>
        <w:jc w:val="both"/>
      </w:pPr>
      <w:r>
        <w:rPr>
          <w:rFonts w:ascii="Arial" w:hAnsi="Arial" w:eastAsia="Arial" w:cs="Arial"/>
          <w:b w:val="0"/>
          <w:bCs w:val="0"/>
          <w:i w:val="0"/>
          <w:iCs w:val="0"/>
          <w:color w:val="000000"/>
          <w:sz w:val="22"/>
          <w:szCs w:val="22"/>
        </w:rPr>
        <w:t>Customer retention is a major challenge for businesses across all industries. The cost of acquiring a new customer significantly exceeds the cost of retaining an existing one, making churn prevention a top strategic priority. Despite this, many organisations struggle to identify at-risk customers early enough to intervene effectively.</w:t>
      </w:r>
    </w:p>
    <w:p w14:paraId="685E4356">
      <w:pPr>
        <w:spacing w:before="80" w:after="100" w:line="300" w:lineRule="auto"/>
        <w:jc w:val="both"/>
      </w:pPr>
      <w:r>
        <w:rPr>
          <w:rFonts w:ascii="Arial" w:hAnsi="Arial" w:eastAsia="Arial" w:cs="Arial"/>
          <w:b w:val="0"/>
          <w:bCs w:val="0"/>
          <w:i w:val="0"/>
          <w:iCs w:val="0"/>
          <w:color w:val="000000"/>
          <w:sz w:val="22"/>
          <w:szCs w:val="22"/>
        </w:rPr>
        <w:t>Traditional approaches to customer retention — such as broad promotional campaigns or reactive responses to customer complaints — are inefficient and often too late. They fail to leverage the wealth of customer interaction data available in modern CRM systems and databases.</w:t>
      </w:r>
    </w:p>
    <w:p w14:paraId="27ED287B">
      <w:pPr>
        <w:spacing w:before="80" w:after="100" w:line="300" w:lineRule="auto"/>
        <w:jc w:val="both"/>
      </w:pPr>
      <w:r>
        <w:rPr>
          <w:rFonts w:ascii="Arial" w:hAnsi="Arial" w:eastAsia="Arial" w:cs="Arial"/>
          <w:b w:val="0"/>
          <w:bCs w:val="0"/>
          <w:i w:val="0"/>
          <w:iCs w:val="0"/>
          <w:color w:val="000000"/>
          <w:sz w:val="22"/>
          <w:szCs w:val="22"/>
        </w:rPr>
        <w:t>By analysing patterns in historical customer data — including tenure, billing behaviour, contract type, service usage, and support interactions — Machine Learning models can predict with high accuracy which customers are likely to leave. This enables businesses to:</w:t>
      </w:r>
    </w:p>
    <w:p w14:paraId="10C291F5">
      <w:pPr>
        <w:pStyle w:val="16"/>
        <w:numPr>
          <w:ilvl w:val="0"/>
          <w:numId w:val="1"/>
        </w:numPr>
        <w:spacing w:before="60" w:after="60" w:line="280" w:lineRule="auto"/>
      </w:pPr>
      <w:r>
        <w:rPr>
          <w:rFonts w:ascii="Arial" w:hAnsi="Arial" w:eastAsia="Arial" w:cs="Arial"/>
          <w:color w:val="000000"/>
          <w:sz w:val="22"/>
          <w:szCs w:val="22"/>
        </w:rPr>
        <w:t>Identify at-risk customers before they churn.</w:t>
      </w:r>
    </w:p>
    <w:p w14:paraId="200CDBA6">
      <w:pPr>
        <w:pStyle w:val="16"/>
        <w:numPr>
          <w:ilvl w:val="0"/>
          <w:numId w:val="1"/>
        </w:numPr>
        <w:spacing w:before="60" w:after="60" w:line="280" w:lineRule="auto"/>
      </w:pPr>
      <w:r>
        <w:rPr>
          <w:rFonts w:ascii="Arial" w:hAnsi="Arial" w:eastAsia="Arial" w:cs="Arial"/>
          <w:color w:val="000000"/>
          <w:sz w:val="22"/>
          <w:szCs w:val="22"/>
        </w:rPr>
        <w:t>Deploy targeted, personalised retention campaigns.</w:t>
      </w:r>
    </w:p>
    <w:p w14:paraId="2335AFBE">
      <w:pPr>
        <w:pStyle w:val="16"/>
        <w:numPr>
          <w:ilvl w:val="0"/>
          <w:numId w:val="1"/>
        </w:numPr>
        <w:spacing w:before="60" w:after="60" w:line="280" w:lineRule="auto"/>
      </w:pPr>
      <w:r>
        <w:rPr>
          <w:rFonts w:ascii="Arial" w:hAnsi="Arial" w:eastAsia="Arial" w:cs="Arial"/>
          <w:color w:val="000000"/>
          <w:sz w:val="22"/>
          <w:szCs w:val="22"/>
        </w:rPr>
        <w:t>Reduce revenue loss caused by customer attrition.</w:t>
      </w:r>
    </w:p>
    <w:p w14:paraId="147F26ED">
      <w:pPr>
        <w:pStyle w:val="16"/>
        <w:numPr>
          <w:ilvl w:val="0"/>
          <w:numId w:val="1"/>
        </w:numPr>
        <w:spacing w:before="60" w:after="60" w:line="280" w:lineRule="auto"/>
      </w:pPr>
      <w:r>
        <w:rPr>
          <w:rFonts w:ascii="Arial" w:hAnsi="Arial" w:eastAsia="Arial" w:cs="Arial"/>
          <w:color w:val="000000"/>
          <w:sz w:val="22"/>
          <w:szCs w:val="22"/>
        </w:rPr>
        <w:t>Optimise customer lifetime value (CLV) by focusing retention efforts on high-value customers.</w:t>
      </w:r>
    </w:p>
    <w:p w14:paraId="6AB3AB0B">
      <w:pPr>
        <w:pStyle w:val="16"/>
        <w:numPr>
          <w:ilvl w:val="0"/>
          <w:numId w:val="1"/>
        </w:numPr>
        <w:spacing w:before="60" w:after="60" w:line="280" w:lineRule="auto"/>
      </w:pPr>
      <w:r>
        <w:rPr>
          <w:rFonts w:ascii="Arial" w:hAnsi="Arial" w:eastAsia="Arial" w:cs="Arial"/>
          <w:color w:val="000000"/>
          <w:sz w:val="22"/>
          <w:szCs w:val="22"/>
        </w:rPr>
        <w:t>Improve overall customer satisfaction and engagement.</w:t>
      </w:r>
    </w:p>
    <w:p w14:paraId="72628C87">
      <w:pPr>
        <w:spacing w:before="80" w:after="100" w:line="300" w:lineRule="auto"/>
        <w:jc w:val="both"/>
      </w:pPr>
      <w:r>
        <w:rPr>
          <w:rFonts w:ascii="Arial" w:hAnsi="Arial" w:eastAsia="Arial" w:cs="Arial"/>
          <w:b w:val="0"/>
          <w:bCs w:val="0"/>
          <w:i w:val="0"/>
          <w:iCs w:val="0"/>
          <w:color w:val="000000"/>
          <w:sz w:val="22"/>
          <w:szCs w:val="22"/>
        </w:rPr>
        <w:t>This project addresses the problem by building a supervised binary classification system that takes a customer's profile and behavioural data as input and outputs a churn prediction (Yes/No) along with a probability score, enabling data-driven decision-making for retention teams.</w:t>
      </w:r>
    </w:p>
    <w:p w14:paraId="69714C6E">
      <w:pPr>
        <w:pStyle w:val="2"/>
        <w:pBdr>
          <w:bottom w:val="single" w:color="000000" w:sz="6" w:space="1"/>
        </w:pBdr>
        <w:spacing w:before="360" w:after="120"/>
      </w:pPr>
      <w:r>
        <w:rPr>
          <w:rFonts w:ascii="Arial" w:hAnsi="Arial" w:eastAsia="Arial" w:cs="Arial"/>
          <w:b/>
          <w:bCs/>
          <w:color w:val="000000"/>
          <w:sz w:val="32"/>
          <w:szCs w:val="32"/>
        </w:rPr>
        <w:t>3.  Dataset Description</w:t>
      </w:r>
    </w:p>
    <w:p w14:paraId="2017493D">
      <w:pPr>
        <w:spacing w:before="80" w:after="100" w:line="300" w:lineRule="auto"/>
        <w:jc w:val="both"/>
      </w:pPr>
      <w:r>
        <w:rPr>
          <w:rFonts w:ascii="Arial" w:hAnsi="Arial" w:eastAsia="Arial" w:cs="Arial"/>
          <w:b w:val="0"/>
          <w:bCs w:val="0"/>
          <w:i w:val="0"/>
          <w:iCs w:val="0"/>
          <w:color w:val="000000"/>
          <w:sz w:val="22"/>
          <w:szCs w:val="22"/>
        </w:rPr>
        <w:t>The dataset used in this project is a synthetically generated Telco-style Customer Churn Dataset containing 1,000 customer records across 11 features. Each record represents an individual customer and includes demographic information, account details, service usage patterns, and the churn label indicating whether the customer left the company.</w:t>
      </w:r>
    </w:p>
    <w:p w14:paraId="7A9A19EE">
      <w:pPr>
        <w:pStyle w:val="3"/>
        <w:spacing w:before="240" w:after="80"/>
      </w:pPr>
      <w:r>
        <w:rPr>
          <w:rFonts w:ascii="Arial" w:hAnsi="Arial" w:eastAsia="Arial" w:cs="Arial"/>
          <w:b/>
          <w:bCs/>
          <w:color w:val="000000"/>
          <w:sz w:val="26"/>
          <w:szCs w:val="26"/>
        </w:rPr>
        <w:t>3.1  Dataset Summary</w:t>
      </w:r>
    </w:p>
    <w:p w14:paraId="39BBA8D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F31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1D672E07">
            <w:pPr>
              <w:jc w:val="center"/>
            </w:pPr>
            <w:r>
              <w:rPr>
                <w:rFonts w:ascii="Arial" w:hAnsi="Arial" w:eastAsia="Arial" w:cs="Arial"/>
                <w:b/>
                <w:bCs/>
                <w:color w:val="FFFFFF"/>
                <w:sz w:val="20"/>
                <w:szCs w:val="20"/>
              </w:rPr>
              <w:t>Attribute</w:t>
            </w:r>
          </w:p>
        </w:tc>
        <w:tc>
          <w:tcPr>
            <w:tcW w:w="636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280BA50D">
            <w:pPr>
              <w:jc w:val="center"/>
            </w:pPr>
            <w:r>
              <w:rPr>
                <w:rFonts w:ascii="Arial" w:hAnsi="Arial" w:eastAsia="Arial" w:cs="Arial"/>
                <w:b/>
                <w:bCs/>
                <w:color w:val="FFFFFF"/>
                <w:sz w:val="20"/>
                <w:szCs w:val="20"/>
              </w:rPr>
              <w:t>Details</w:t>
            </w:r>
          </w:p>
        </w:tc>
      </w:tr>
      <w:tr w14:paraId="57432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866BF53">
            <w:pPr>
              <w:jc w:val="left"/>
            </w:pPr>
            <w:r>
              <w:rPr>
                <w:rFonts w:ascii="Arial" w:hAnsi="Arial" w:eastAsia="Arial" w:cs="Arial"/>
                <w:b/>
                <w:bCs/>
                <w:color w:val="000000"/>
                <w:sz w:val="20"/>
                <w:szCs w:val="20"/>
              </w:rPr>
              <w:t>Total Records</w:t>
            </w:r>
          </w:p>
        </w:tc>
        <w:tc>
          <w:tcPr>
            <w:tcW w:w="6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1182044">
            <w:pPr>
              <w:jc w:val="left"/>
            </w:pPr>
            <w:r>
              <w:rPr>
                <w:rFonts w:ascii="Arial" w:hAnsi="Arial" w:eastAsia="Arial" w:cs="Arial"/>
                <w:b w:val="0"/>
                <w:bCs w:val="0"/>
                <w:color w:val="000000"/>
                <w:sz w:val="20"/>
                <w:szCs w:val="20"/>
              </w:rPr>
              <w:t>1,000 customers</w:t>
            </w:r>
          </w:p>
        </w:tc>
      </w:tr>
      <w:tr w14:paraId="7F0FE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2BD9D55E">
            <w:pPr>
              <w:jc w:val="left"/>
            </w:pPr>
            <w:r>
              <w:rPr>
                <w:rFonts w:ascii="Arial" w:hAnsi="Arial" w:eastAsia="Arial" w:cs="Arial"/>
                <w:b/>
                <w:bCs/>
                <w:color w:val="000000"/>
                <w:sz w:val="20"/>
                <w:szCs w:val="20"/>
              </w:rPr>
              <w:t>Total Features</w:t>
            </w:r>
          </w:p>
        </w:tc>
        <w:tc>
          <w:tcPr>
            <w:tcW w:w="63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6173D726">
            <w:pPr>
              <w:jc w:val="left"/>
            </w:pPr>
            <w:r>
              <w:rPr>
                <w:rFonts w:ascii="Arial" w:hAnsi="Arial" w:eastAsia="Arial" w:cs="Arial"/>
                <w:b w:val="0"/>
                <w:bCs w:val="0"/>
                <w:color w:val="000000"/>
                <w:sz w:val="20"/>
                <w:szCs w:val="20"/>
              </w:rPr>
              <w:t>11 (including target)</w:t>
            </w:r>
          </w:p>
        </w:tc>
      </w:tr>
      <w:tr w14:paraId="6C0BD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6C606F4">
            <w:pPr>
              <w:jc w:val="left"/>
            </w:pPr>
            <w:r>
              <w:rPr>
                <w:rFonts w:ascii="Arial" w:hAnsi="Arial" w:eastAsia="Arial" w:cs="Arial"/>
                <w:b/>
                <w:bCs/>
                <w:color w:val="000000"/>
                <w:sz w:val="20"/>
                <w:szCs w:val="20"/>
              </w:rPr>
              <w:t>Target Variable</w:t>
            </w:r>
          </w:p>
        </w:tc>
        <w:tc>
          <w:tcPr>
            <w:tcW w:w="6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8B52531">
            <w:pPr>
              <w:jc w:val="left"/>
            </w:pPr>
            <w:r>
              <w:rPr>
                <w:rFonts w:ascii="Arial" w:hAnsi="Arial" w:eastAsia="Arial" w:cs="Arial"/>
                <w:b w:val="0"/>
                <w:bCs w:val="0"/>
                <w:color w:val="000000"/>
                <w:sz w:val="20"/>
                <w:szCs w:val="20"/>
              </w:rPr>
              <w:t>Churn (Yes / No)</w:t>
            </w:r>
          </w:p>
        </w:tc>
      </w:tr>
      <w:tr w14:paraId="20AAB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6EF6A46D">
            <w:pPr>
              <w:jc w:val="left"/>
            </w:pPr>
            <w:r>
              <w:rPr>
                <w:rFonts w:ascii="Arial" w:hAnsi="Arial" w:eastAsia="Arial" w:cs="Arial"/>
                <w:b/>
                <w:bCs/>
                <w:color w:val="000000"/>
                <w:sz w:val="20"/>
                <w:szCs w:val="20"/>
              </w:rPr>
              <w:t>Churn Rate</w:t>
            </w:r>
          </w:p>
        </w:tc>
        <w:tc>
          <w:tcPr>
            <w:tcW w:w="63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8D23A67">
            <w:pPr>
              <w:jc w:val="left"/>
            </w:pPr>
            <w:r>
              <w:rPr>
                <w:rFonts w:ascii="Arial" w:hAnsi="Arial" w:eastAsia="Arial" w:cs="Arial"/>
                <w:b w:val="0"/>
                <w:bCs w:val="0"/>
                <w:color w:val="000000"/>
                <w:sz w:val="20"/>
                <w:szCs w:val="20"/>
              </w:rPr>
              <w:t>39.0% (390 churned, 610 retained)</w:t>
            </w:r>
          </w:p>
        </w:tc>
      </w:tr>
      <w:tr w14:paraId="504D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1CA1F7C">
            <w:pPr>
              <w:jc w:val="left"/>
            </w:pPr>
            <w:r>
              <w:rPr>
                <w:rFonts w:ascii="Arial" w:hAnsi="Arial" w:eastAsia="Arial" w:cs="Arial"/>
                <w:b/>
                <w:bCs/>
                <w:color w:val="000000"/>
                <w:sz w:val="20"/>
                <w:szCs w:val="20"/>
              </w:rPr>
              <w:t>Missing Values</w:t>
            </w:r>
          </w:p>
        </w:tc>
        <w:tc>
          <w:tcPr>
            <w:tcW w:w="6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CF09992">
            <w:pPr>
              <w:jc w:val="left"/>
            </w:pPr>
            <w:r>
              <w:rPr>
                <w:rFonts w:ascii="Arial" w:hAnsi="Arial" w:eastAsia="Arial" w:cs="Arial"/>
                <w:b w:val="0"/>
                <w:bCs w:val="0"/>
                <w:color w:val="000000"/>
                <w:sz w:val="20"/>
                <w:szCs w:val="20"/>
              </w:rPr>
              <w:t>None</w:t>
            </w:r>
          </w:p>
        </w:tc>
      </w:tr>
      <w:tr w14:paraId="4792C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215E65D">
            <w:pPr>
              <w:jc w:val="left"/>
            </w:pPr>
            <w:r>
              <w:rPr>
                <w:rFonts w:ascii="Arial" w:hAnsi="Arial" w:eastAsia="Arial" w:cs="Arial"/>
                <w:b/>
                <w:bCs/>
                <w:color w:val="000000"/>
                <w:sz w:val="20"/>
                <w:szCs w:val="20"/>
              </w:rPr>
              <w:t>Duplicate Records</w:t>
            </w:r>
          </w:p>
        </w:tc>
        <w:tc>
          <w:tcPr>
            <w:tcW w:w="63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7F09EE4">
            <w:pPr>
              <w:jc w:val="left"/>
            </w:pPr>
            <w:r>
              <w:rPr>
                <w:rFonts w:ascii="Arial" w:hAnsi="Arial" w:eastAsia="Arial" w:cs="Arial"/>
                <w:b w:val="0"/>
                <w:bCs w:val="0"/>
                <w:color w:val="000000"/>
                <w:sz w:val="20"/>
                <w:szCs w:val="20"/>
              </w:rPr>
              <w:t>None</w:t>
            </w:r>
          </w:p>
        </w:tc>
      </w:tr>
      <w:tr w14:paraId="0F00B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68F859F">
            <w:pPr>
              <w:jc w:val="left"/>
            </w:pPr>
            <w:r>
              <w:rPr>
                <w:rFonts w:ascii="Arial" w:hAnsi="Arial" w:eastAsia="Arial" w:cs="Arial"/>
                <w:b/>
                <w:bCs/>
                <w:color w:val="000000"/>
                <w:sz w:val="20"/>
                <w:szCs w:val="20"/>
              </w:rPr>
              <w:t>File Format</w:t>
            </w:r>
          </w:p>
        </w:tc>
        <w:tc>
          <w:tcPr>
            <w:tcW w:w="6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688540F">
            <w:pPr>
              <w:jc w:val="left"/>
            </w:pPr>
            <w:r>
              <w:rPr>
                <w:rFonts w:ascii="Arial" w:hAnsi="Arial" w:eastAsia="Arial" w:cs="Arial"/>
                <w:b w:val="0"/>
                <w:bCs w:val="0"/>
                <w:color w:val="000000"/>
                <w:sz w:val="20"/>
                <w:szCs w:val="20"/>
              </w:rPr>
              <w:t>CSV (.csv)</w:t>
            </w:r>
          </w:p>
        </w:tc>
      </w:tr>
    </w:tbl>
    <w:p w14:paraId="2359487D">
      <w:pPr>
        <w:spacing w:before="160" w:after="0"/>
      </w:pPr>
    </w:p>
    <w:p w14:paraId="4B3C52AE">
      <w:pPr>
        <w:pStyle w:val="3"/>
        <w:spacing w:before="240" w:after="80"/>
      </w:pPr>
      <w:r>
        <w:rPr>
          <w:rFonts w:ascii="Arial" w:hAnsi="Arial" w:eastAsia="Arial" w:cs="Arial"/>
          <w:b/>
          <w:bCs/>
          <w:color w:val="000000"/>
          <w:sz w:val="26"/>
          <w:szCs w:val="26"/>
        </w:rPr>
        <w:t>3.2  Feature Descriptions</w:t>
      </w:r>
    </w:p>
    <w:p w14:paraId="6282941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5060"/>
      </w:tblGrid>
      <w:tr w14:paraId="444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2B923ACC">
            <w:pPr>
              <w:jc w:val="center"/>
            </w:pPr>
            <w:r>
              <w:rPr>
                <w:rFonts w:ascii="Arial" w:hAnsi="Arial" w:eastAsia="Arial" w:cs="Arial"/>
                <w:b/>
                <w:bCs/>
                <w:color w:val="FFFFFF"/>
                <w:sz w:val="20"/>
                <w:szCs w:val="20"/>
              </w:rPr>
              <w:t>Feature Name</w:t>
            </w:r>
          </w:p>
        </w:tc>
        <w:tc>
          <w:tcPr>
            <w:tcW w:w="18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28E4FB27">
            <w:pPr>
              <w:jc w:val="center"/>
            </w:pPr>
            <w:r>
              <w:rPr>
                <w:rFonts w:ascii="Arial" w:hAnsi="Arial" w:eastAsia="Arial" w:cs="Arial"/>
                <w:b/>
                <w:bCs/>
                <w:color w:val="FFFFFF"/>
                <w:sz w:val="20"/>
                <w:szCs w:val="20"/>
              </w:rPr>
              <w:t>Data Type</w:t>
            </w:r>
          </w:p>
        </w:tc>
        <w:tc>
          <w:tcPr>
            <w:tcW w:w="506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410D9E96">
            <w:pPr>
              <w:jc w:val="center"/>
            </w:pPr>
            <w:r>
              <w:rPr>
                <w:rFonts w:ascii="Arial" w:hAnsi="Arial" w:eastAsia="Arial" w:cs="Arial"/>
                <w:b/>
                <w:bCs/>
                <w:color w:val="FFFFFF"/>
                <w:sz w:val="20"/>
                <w:szCs w:val="20"/>
              </w:rPr>
              <w:t>Description</w:t>
            </w:r>
          </w:p>
        </w:tc>
      </w:tr>
      <w:tr w14:paraId="7B4F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D55A430">
            <w:pPr>
              <w:jc w:val="left"/>
            </w:pPr>
            <w:r>
              <w:rPr>
                <w:rFonts w:ascii="Arial" w:hAnsi="Arial" w:eastAsia="Arial" w:cs="Arial"/>
                <w:b/>
                <w:bCs/>
                <w:color w:val="000000"/>
                <w:sz w:val="20"/>
                <w:szCs w:val="20"/>
              </w:rPr>
              <w:t>CustomerID</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8741E20">
            <w:pPr>
              <w:jc w:val="center"/>
            </w:pPr>
            <w:r>
              <w:rPr>
                <w:rFonts w:ascii="Arial" w:hAnsi="Arial" w:eastAsia="Arial" w:cs="Arial"/>
                <w:b w:val="0"/>
                <w:bCs w:val="0"/>
                <w:color w:val="000000"/>
                <w:sz w:val="20"/>
                <w:szCs w:val="20"/>
              </w:rPr>
              <w:t>String</w:t>
            </w:r>
          </w:p>
        </w:tc>
        <w:tc>
          <w:tcPr>
            <w:tcW w:w="50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C479F7E">
            <w:pPr>
              <w:jc w:val="left"/>
            </w:pPr>
            <w:r>
              <w:rPr>
                <w:rFonts w:ascii="Arial" w:hAnsi="Arial" w:eastAsia="Arial" w:cs="Arial"/>
                <w:b w:val="0"/>
                <w:bCs w:val="0"/>
                <w:color w:val="000000"/>
                <w:sz w:val="20"/>
                <w:szCs w:val="20"/>
              </w:rPr>
              <w:t>Unique identifier for each customer (dropped before modelling)</w:t>
            </w:r>
          </w:p>
        </w:tc>
      </w:tr>
      <w:tr w14:paraId="3B00C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9C6132E">
            <w:pPr>
              <w:jc w:val="left"/>
            </w:pPr>
            <w:r>
              <w:rPr>
                <w:rFonts w:ascii="Arial" w:hAnsi="Arial" w:eastAsia="Arial" w:cs="Arial"/>
                <w:b/>
                <w:bCs/>
                <w:color w:val="000000"/>
                <w:sz w:val="20"/>
                <w:szCs w:val="20"/>
              </w:rPr>
              <w:t>Gender</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975F178">
            <w:pPr>
              <w:jc w:val="center"/>
            </w:pPr>
            <w:r>
              <w:rPr>
                <w:rFonts w:ascii="Arial" w:hAnsi="Arial" w:eastAsia="Arial" w:cs="Arial"/>
                <w:b w:val="0"/>
                <w:bCs w:val="0"/>
                <w:color w:val="000000"/>
                <w:sz w:val="20"/>
                <w:szCs w:val="20"/>
              </w:rPr>
              <w:t>Categorical</w:t>
            </w:r>
          </w:p>
        </w:tc>
        <w:tc>
          <w:tcPr>
            <w:tcW w:w="50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65AF393D">
            <w:pPr>
              <w:jc w:val="left"/>
            </w:pPr>
            <w:r>
              <w:rPr>
                <w:rFonts w:ascii="Arial" w:hAnsi="Arial" w:eastAsia="Arial" w:cs="Arial"/>
                <w:b w:val="0"/>
                <w:bCs w:val="0"/>
                <w:color w:val="000000"/>
                <w:sz w:val="20"/>
                <w:szCs w:val="20"/>
              </w:rPr>
              <w:t>Gender of the customer: Male or Female</w:t>
            </w:r>
          </w:p>
        </w:tc>
      </w:tr>
      <w:tr w14:paraId="66A15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835E2B3">
            <w:pPr>
              <w:jc w:val="left"/>
            </w:pPr>
            <w:r>
              <w:rPr>
                <w:rFonts w:ascii="Arial" w:hAnsi="Arial" w:eastAsia="Arial" w:cs="Arial"/>
                <w:b/>
                <w:bCs/>
                <w:color w:val="000000"/>
                <w:sz w:val="20"/>
                <w:szCs w:val="20"/>
              </w:rPr>
              <w:t>Age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BB87F9B">
            <w:pPr>
              <w:jc w:val="center"/>
            </w:pPr>
            <w:r>
              <w:rPr>
                <w:rFonts w:ascii="Arial" w:hAnsi="Arial" w:eastAsia="Arial" w:cs="Arial"/>
                <w:b w:val="0"/>
                <w:bCs w:val="0"/>
                <w:color w:val="000000"/>
                <w:sz w:val="20"/>
                <w:szCs w:val="20"/>
              </w:rPr>
              <w:t>Integer</w:t>
            </w:r>
          </w:p>
        </w:tc>
        <w:tc>
          <w:tcPr>
            <w:tcW w:w="50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6B5676D">
            <w:pPr>
              <w:jc w:val="left"/>
            </w:pPr>
            <w:r>
              <w:rPr>
                <w:rFonts w:ascii="Arial" w:hAnsi="Arial" w:eastAsia="Arial" w:cs="Arial"/>
                <w:b w:val="0"/>
                <w:bCs w:val="0"/>
                <w:color w:val="000000"/>
                <w:sz w:val="20"/>
                <w:szCs w:val="20"/>
              </w:rPr>
              <w:t>Age of the customer (18 to 70 years)</w:t>
            </w:r>
          </w:p>
        </w:tc>
      </w:tr>
      <w:tr w14:paraId="5214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655EFD44">
            <w:pPr>
              <w:jc w:val="left"/>
            </w:pPr>
            <w:r>
              <w:rPr>
                <w:rFonts w:ascii="Arial" w:hAnsi="Arial" w:eastAsia="Arial" w:cs="Arial"/>
                <w:b/>
                <w:bCs/>
                <w:color w:val="000000"/>
                <w:sz w:val="20"/>
                <w:szCs w:val="20"/>
              </w:rPr>
              <w:t>Tenure</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C679A3E">
            <w:pPr>
              <w:jc w:val="center"/>
            </w:pPr>
            <w:r>
              <w:rPr>
                <w:rFonts w:ascii="Arial" w:hAnsi="Arial" w:eastAsia="Arial" w:cs="Arial"/>
                <w:b w:val="0"/>
                <w:bCs w:val="0"/>
                <w:color w:val="000000"/>
                <w:sz w:val="20"/>
                <w:szCs w:val="20"/>
              </w:rPr>
              <w:t>Integer</w:t>
            </w:r>
          </w:p>
        </w:tc>
        <w:tc>
          <w:tcPr>
            <w:tcW w:w="50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05E6D02">
            <w:pPr>
              <w:jc w:val="left"/>
            </w:pPr>
            <w:r>
              <w:rPr>
                <w:rFonts w:ascii="Arial" w:hAnsi="Arial" w:eastAsia="Arial" w:cs="Arial"/>
                <w:b w:val="0"/>
                <w:bCs w:val="0"/>
                <w:color w:val="000000"/>
                <w:sz w:val="20"/>
                <w:szCs w:val="20"/>
              </w:rPr>
              <w:t>Number of months the customer has been with the company (0–72)</w:t>
            </w:r>
          </w:p>
        </w:tc>
      </w:tr>
      <w:tr w14:paraId="33340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AF5922F">
            <w:pPr>
              <w:jc w:val="left"/>
            </w:pPr>
            <w:r>
              <w:rPr>
                <w:rFonts w:ascii="Arial" w:hAnsi="Arial" w:eastAsia="Arial" w:cs="Arial"/>
                <w:b/>
                <w:bCs/>
                <w:color w:val="000000"/>
                <w:sz w:val="20"/>
                <w:szCs w:val="20"/>
              </w:rPr>
              <w:t>MonthlyCharges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9163D5E">
            <w:pPr>
              <w:jc w:val="center"/>
            </w:pPr>
            <w:r>
              <w:rPr>
                <w:rFonts w:ascii="Arial" w:hAnsi="Arial" w:eastAsia="Arial" w:cs="Arial"/>
                <w:b w:val="0"/>
                <w:bCs w:val="0"/>
                <w:color w:val="000000"/>
                <w:sz w:val="20"/>
                <w:szCs w:val="20"/>
              </w:rPr>
              <w:t>Float</w:t>
            </w:r>
          </w:p>
        </w:tc>
        <w:tc>
          <w:tcPr>
            <w:tcW w:w="50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BB6F707">
            <w:pPr>
              <w:jc w:val="left"/>
            </w:pPr>
            <w:r>
              <w:rPr>
                <w:rFonts w:ascii="Arial" w:hAnsi="Arial" w:eastAsia="Arial" w:cs="Arial"/>
                <w:b w:val="0"/>
                <w:bCs w:val="0"/>
                <w:color w:val="000000"/>
                <w:sz w:val="20"/>
                <w:szCs w:val="20"/>
              </w:rPr>
              <w:t>Monthly billing amount in USD ($20 – $120)</w:t>
            </w:r>
          </w:p>
        </w:tc>
      </w:tr>
      <w:tr w14:paraId="0931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D400C6F">
            <w:pPr>
              <w:jc w:val="left"/>
            </w:pPr>
            <w:r>
              <w:rPr>
                <w:rFonts w:ascii="Arial" w:hAnsi="Arial" w:eastAsia="Arial" w:cs="Arial"/>
                <w:b/>
                <w:bCs/>
                <w:color w:val="000000"/>
                <w:sz w:val="20"/>
                <w:szCs w:val="20"/>
              </w:rPr>
              <w:t>TotalCharges</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12F0908">
            <w:pPr>
              <w:jc w:val="center"/>
            </w:pPr>
            <w:r>
              <w:rPr>
                <w:rFonts w:ascii="Arial" w:hAnsi="Arial" w:eastAsia="Arial" w:cs="Arial"/>
                <w:b w:val="0"/>
                <w:bCs w:val="0"/>
                <w:color w:val="000000"/>
                <w:sz w:val="20"/>
                <w:szCs w:val="20"/>
              </w:rPr>
              <w:t>Float</w:t>
            </w:r>
          </w:p>
        </w:tc>
        <w:tc>
          <w:tcPr>
            <w:tcW w:w="50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AD152C7">
            <w:pPr>
              <w:jc w:val="left"/>
            </w:pPr>
            <w:r>
              <w:rPr>
                <w:rFonts w:ascii="Arial" w:hAnsi="Arial" w:eastAsia="Arial" w:cs="Arial"/>
                <w:b w:val="0"/>
                <w:bCs w:val="0"/>
                <w:color w:val="000000"/>
                <w:sz w:val="20"/>
                <w:szCs w:val="20"/>
              </w:rPr>
              <w:t>Total amount billed to the customer over their tenure</w:t>
            </w:r>
          </w:p>
        </w:tc>
      </w:tr>
      <w:tr w14:paraId="2C50A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A8285BD">
            <w:pPr>
              <w:jc w:val="left"/>
            </w:pPr>
            <w:r>
              <w:rPr>
                <w:rFonts w:ascii="Arial" w:hAnsi="Arial" w:eastAsia="Arial" w:cs="Arial"/>
                <w:b/>
                <w:bCs/>
                <w:color w:val="000000"/>
                <w:sz w:val="20"/>
                <w:szCs w:val="20"/>
              </w:rPr>
              <w:t>ContractType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8E84A76">
            <w:pPr>
              <w:jc w:val="center"/>
            </w:pPr>
            <w:r>
              <w:rPr>
                <w:rFonts w:ascii="Arial" w:hAnsi="Arial" w:eastAsia="Arial" w:cs="Arial"/>
                <w:b w:val="0"/>
                <w:bCs w:val="0"/>
                <w:color w:val="000000"/>
                <w:sz w:val="20"/>
                <w:szCs w:val="20"/>
              </w:rPr>
              <w:t>Categorical</w:t>
            </w:r>
          </w:p>
        </w:tc>
        <w:tc>
          <w:tcPr>
            <w:tcW w:w="50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187B4E0">
            <w:pPr>
              <w:jc w:val="left"/>
            </w:pPr>
            <w:r>
              <w:rPr>
                <w:rFonts w:ascii="Arial" w:hAnsi="Arial" w:eastAsia="Arial" w:cs="Arial"/>
                <w:b w:val="0"/>
                <w:bCs w:val="0"/>
                <w:color w:val="000000"/>
                <w:sz w:val="20"/>
                <w:szCs w:val="20"/>
              </w:rPr>
              <w:t>Type of contract: Month-to-month, One year, or Two year</w:t>
            </w:r>
          </w:p>
        </w:tc>
      </w:tr>
      <w:tr w14:paraId="026D5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47C54118">
            <w:pPr>
              <w:jc w:val="left"/>
            </w:pPr>
            <w:r>
              <w:rPr>
                <w:rFonts w:ascii="Arial" w:hAnsi="Arial" w:eastAsia="Arial" w:cs="Arial"/>
                <w:b/>
                <w:bCs/>
                <w:color w:val="000000"/>
                <w:sz w:val="20"/>
                <w:szCs w:val="20"/>
              </w:rPr>
              <w:t>PaymentMethod</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5D91136">
            <w:pPr>
              <w:jc w:val="center"/>
            </w:pPr>
            <w:r>
              <w:rPr>
                <w:rFonts w:ascii="Arial" w:hAnsi="Arial" w:eastAsia="Arial" w:cs="Arial"/>
                <w:b w:val="0"/>
                <w:bCs w:val="0"/>
                <w:color w:val="000000"/>
                <w:sz w:val="20"/>
                <w:szCs w:val="20"/>
              </w:rPr>
              <w:t>Categorical</w:t>
            </w:r>
          </w:p>
        </w:tc>
        <w:tc>
          <w:tcPr>
            <w:tcW w:w="50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6DEB4449">
            <w:pPr>
              <w:jc w:val="left"/>
            </w:pPr>
            <w:r>
              <w:rPr>
                <w:rFonts w:ascii="Arial" w:hAnsi="Arial" w:eastAsia="Arial" w:cs="Arial"/>
                <w:b w:val="0"/>
                <w:bCs w:val="0"/>
                <w:color w:val="000000"/>
                <w:sz w:val="20"/>
                <w:szCs w:val="20"/>
              </w:rPr>
              <w:t>Payment method: Electronic check, Mailed check, Bank transfer, Credit card</w:t>
            </w:r>
          </w:p>
        </w:tc>
      </w:tr>
      <w:tr w14:paraId="1988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44B5EFB">
            <w:pPr>
              <w:jc w:val="left"/>
            </w:pPr>
            <w:r>
              <w:rPr>
                <w:rFonts w:ascii="Arial" w:hAnsi="Arial" w:eastAsia="Arial" w:cs="Arial"/>
                <w:b/>
                <w:bCs/>
                <w:color w:val="000000"/>
                <w:sz w:val="20"/>
                <w:szCs w:val="20"/>
              </w:rPr>
              <w:t>InternetService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6C0BDD1">
            <w:pPr>
              <w:jc w:val="center"/>
            </w:pPr>
            <w:r>
              <w:rPr>
                <w:rFonts w:ascii="Arial" w:hAnsi="Arial" w:eastAsia="Arial" w:cs="Arial"/>
                <w:b w:val="0"/>
                <w:bCs w:val="0"/>
                <w:color w:val="000000"/>
                <w:sz w:val="20"/>
                <w:szCs w:val="20"/>
              </w:rPr>
              <w:t>Categorical</w:t>
            </w:r>
          </w:p>
        </w:tc>
        <w:tc>
          <w:tcPr>
            <w:tcW w:w="50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B318720">
            <w:pPr>
              <w:jc w:val="left"/>
            </w:pPr>
            <w:r>
              <w:rPr>
                <w:rFonts w:ascii="Arial" w:hAnsi="Arial" w:eastAsia="Arial" w:cs="Arial"/>
                <w:b w:val="0"/>
                <w:bCs w:val="0"/>
                <w:color w:val="000000"/>
                <w:sz w:val="20"/>
                <w:szCs w:val="20"/>
              </w:rPr>
              <w:t>Internet service type: DSL, Fiber optic, or No service</w:t>
            </w:r>
          </w:p>
        </w:tc>
      </w:tr>
      <w:tr w14:paraId="7FEA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0001E5C">
            <w:pPr>
              <w:jc w:val="left"/>
            </w:pPr>
            <w:r>
              <w:rPr>
                <w:rFonts w:ascii="Arial" w:hAnsi="Arial" w:eastAsia="Arial" w:cs="Arial"/>
                <w:b/>
                <w:bCs/>
                <w:color w:val="000000"/>
                <w:sz w:val="20"/>
                <w:szCs w:val="20"/>
              </w:rPr>
              <w:t>CustomerSupportCalls</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94E911D">
            <w:pPr>
              <w:jc w:val="center"/>
            </w:pPr>
            <w:r>
              <w:rPr>
                <w:rFonts w:ascii="Arial" w:hAnsi="Arial" w:eastAsia="Arial" w:cs="Arial"/>
                <w:b w:val="0"/>
                <w:bCs w:val="0"/>
                <w:color w:val="000000"/>
                <w:sz w:val="20"/>
                <w:szCs w:val="20"/>
              </w:rPr>
              <w:t>Integer</w:t>
            </w:r>
          </w:p>
        </w:tc>
        <w:tc>
          <w:tcPr>
            <w:tcW w:w="50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C05B41D">
            <w:pPr>
              <w:jc w:val="left"/>
            </w:pPr>
            <w:r>
              <w:rPr>
                <w:rFonts w:ascii="Arial" w:hAnsi="Arial" w:eastAsia="Arial" w:cs="Arial"/>
                <w:b w:val="0"/>
                <w:bCs w:val="0"/>
                <w:color w:val="000000"/>
                <w:sz w:val="20"/>
                <w:szCs w:val="20"/>
              </w:rPr>
              <w:t>Number of customer support calls made (0–10)</w:t>
            </w:r>
          </w:p>
        </w:tc>
      </w:tr>
      <w:tr w14:paraId="5F80C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DFE2DCF">
            <w:pPr>
              <w:jc w:val="left"/>
            </w:pPr>
            <w:r>
              <w:rPr>
                <w:rFonts w:ascii="Arial" w:hAnsi="Arial" w:eastAsia="Arial" w:cs="Arial"/>
                <w:b/>
                <w:bCs/>
                <w:color w:val="000000"/>
                <w:sz w:val="20"/>
                <w:szCs w:val="20"/>
              </w:rPr>
              <w:t>Churn (Target)</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6ECEC5A">
            <w:pPr>
              <w:jc w:val="center"/>
            </w:pPr>
            <w:r>
              <w:rPr>
                <w:rFonts w:ascii="Arial" w:hAnsi="Arial" w:eastAsia="Arial" w:cs="Arial"/>
                <w:b w:val="0"/>
                <w:bCs w:val="0"/>
                <w:color w:val="000000"/>
                <w:sz w:val="20"/>
                <w:szCs w:val="20"/>
              </w:rPr>
              <w:t>Binary</w:t>
            </w:r>
          </w:p>
        </w:tc>
        <w:tc>
          <w:tcPr>
            <w:tcW w:w="50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B8EA1B5">
            <w:pPr>
              <w:jc w:val="left"/>
            </w:pPr>
            <w:r>
              <w:rPr>
                <w:rFonts w:ascii="Arial" w:hAnsi="Arial" w:eastAsia="Arial" w:cs="Arial"/>
                <w:b w:val="0"/>
                <w:bCs w:val="0"/>
                <w:color w:val="000000"/>
                <w:sz w:val="20"/>
                <w:szCs w:val="20"/>
              </w:rPr>
              <w:t>Whether the customer churned: Yes (1) or No (0)</w:t>
            </w:r>
          </w:p>
        </w:tc>
      </w:tr>
    </w:tbl>
    <w:p w14:paraId="6DAB7D8F">
      <w:pPr>
        <w:spacing w:before="160" w:after="0"/>
      </w:pPr>
    </w:p>
    <w:p w14:paraId="3325F9FE">
      <w:pPr>
        <w:pStyle w:val="2"/>
        <w:pBdr>
          <w:bottom w:val="single" w:color="000000" w:sz="6" w:space="1"/>
        </w:pBdr>
        <w:spacing w:before="360" w:after="120"/>
      </w:pPr>
      <w:r>
        <w:rPr>
          <w:rFonts w:ascii="Arial" w:hAnsi="Arial" w:eastAsia="Arial" w:cs="Arial"/>
          <w:b/>
          <w:bCs/>
          <w:color w:val="000000"/>
          <w:sz w:val="32"/>
          <w:szCs w:val="32"/>
        </w:rPr>
        <w:t>4.  Technologies &amp; Tools Used</w:t>
      </w:r>
    </w:p>
    <w:p w14:paraId="5F3EFFE1">
      <w:pPr>
        <w:pStyle w:val="3"/>
        <w:spacing w:before="240" w:after="80"/>
      </w:pPr>
      <w:r>
        <w:rPr>
          <w:rFonts w:ascii="Arial" w:hAnsi="Arial" w:eastAsia="Arial" w:cs="Arial"/>
          <w:b/>
          <w:bCs/>
          <w:color w:val="000000"/>
          <w:sz w:val="26"/>
          <w:szCs w:val="26"/>
        </w:rPr>
        <w:t>4.1  Programming Language &amp; Environment</w:t>
      </w:r>
    </w:p>
    <w:p w14:paraId="0894CFE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4360"/>
      </w:tblGrid>
      <w:tr w14:paraId="41D8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0B78212B">
            <w:pPr>
              <w:jc w:val="center"/>
            </w:pPr>
            <w:r>
              <w:rPr>
                <w:rFonts w:ascii="Arial" w:hAnsi="Arial" w:eastAsia="Arial" w:cs="Arial"/>
                <w:b/>
                <w:bCs/>
                <w:color w:val="FFFFFF"/>
                <w:sz w:val="20"/>
                <w:szCs w:val="20"/>
              </w:rPr>
              <w:t>Tool</w:t>
            </w:r>
          </w:p>
        </w:tc>
        <w:tc>
          <w:tcPr>
            <w:tcW w:w="20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6B51C5C2">
            <w:pPr>
              <w:jc w:val="center"/>
            </w:pPr>
            <w:r>
              <w:rPr>
                <w:rFonts w:ascii="Arial" w:hAnsi="Arial" w:eastAsia="Arial" w:cs="Arial"/>
                <w:b/>
                <w:bCs/>
                <w:color w:val="FFFFFF"/>
                <w:sz w:val="20"/>
                <w:szCs w:val="20"/>
              </w:rPr>
              <w:t>Version</w:t>
            </w:r>
          </w:p>
        </w:tc>
        <w:tc>
          <w:tcPr>
            <w:tcW w:w="436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66C182A7">
            <w:pPr>
              <w:jc w:val="center"/>
            </w:pPr>
            <w:r>
              <w:rPr>
                <w:rFonts w:ascii="Arial" w:hAnsi="Arial" w:eastAsia="Arial" w:cs="Arial"/>
                <w:b/>
                <w:bCs/>
                <w:color w:val="FFFFFF"/>
                <w:sz w:val="20"/>
                <w:szCs w:val="20"/>
              </w:rPr>
              <w:t>Purpose</w:t>
            </w:r>
          </w:p>
        </w:tc>
      </w:tr>
      <w:tr w14:paraId="216E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28FC610">
            <w:pPr>
              <w:jc w:val="left"/>
            </w:pPr>
            <w:r>
              <w:rPr>
                <w:rFonts w:ascii="Arial" w:hAnsi="Arial" w:eastAsia="Arial" w:cs="Arial"/>
                <w:b/>
                <w:bCs/>
                <w:color w:val="000000"/>
                <w:sz w:val="20"/>
                <w:szCs w:val="20"/>
              </w:rPr>
              <w:t>Python</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CABAD15">
            <w:pPr>
              <w:jc w:val="center"/>
            </w:pPr>
            <w:r>
              <w:rPr>
                <w:rFonts w:ascii="Arial" w:hAnsi="Arial" w:eastAsia="Arial" w:cs="Arial"/>
                <w:b w:val="0"/>
                <w:bCs w:val="0"/>
                <w:color w:val="000000"/>
                <w:sz w:val="20"/>
                <w:szCs w:val="20"/>
              </w:rPr>
              <w:t>3.12.x</w:t>
            </w:r>
          </w:p>
        </w:tc>
        <w:tc>
          <w:tcPr>
            <w:tcW w:w="4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8E67DA2">
            <w:pPr>
              <w:jc w:val="left"/>
            </w:pPr>
            <w:r>
              <w:rPr>
                <w:rFonts w:ascii="Arial" w:hAnsi="Arial" w:eastAsia="Arial" w:cs="Arial"/>
                <w:b w:val="0"/>
                <w:bCs w:val="0"/>
                <w:color w:val="000000"/>
                <w:sz w:val="20"/>
                <w:szCs w:val="20"/>
              </w:rPr>
              <w:t>Core programming language for the entire ML pipeline</w:t>
            </w:r>
          </w:p>
        </w:tc>
      </w:tr>
      <w:tr w14:paraId="3AFD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4AE3D9E7">
            <w:pPr>
              <w:jc w:val="left"/>
            </w:pPr>
            <w:r>
              <w:rPr>
                <w:rFonts w:ascii="Arial" w:hAnsi="Arial" w:eastAsia="Arial" w:cs="Arial"/>
                <w:b/>
                <w:bCs/>
                <w:color w:val="000000"/>
                <w:sz w:val="20"/>
                <w:szCs w:val="20"/>
              </w:rPr>
              <w:t>Jupyter Notebook</w:t>
            </w:r>
          </w:p>
        </w:tc>
        <w:tc>
          <w:tcPr>
            <w:tcW w:w="2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A288CEE">
            <w:pPr>
              <w:jc w:val="center"/>
            </w:pPr>
            <w:r>
              <w:rPr>
                <w:rFonts w:ascii="Arial" w:hAnsi="Arial" w:eastAsia="Arial" w:cs="Arial"/>
                <w:b w:val="0"/>
                <w:bCs w:val="0"/>
                <w:color w:val="000000"/>
                <w:sz w:val="20"/>
                <w:szCs w:val="20"/>
              </w:rPr>
              <w:t>Latest</w:t>
            </w:r>
          </w:p>
        </w:tc>
        <w:tc>
          <w:tcPr>
            <w:tcW w:w="43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2228B104">
            <w:pPr>
              <w:jc w:val="left"/>
            </w:pPr>
            <w:r>
              <w:rPr>
                <w:rFonts w:ascii="Arial" w:hAnsi="Arial" w:eastAsia="Arial" w:cs="Arial"/>
                <w:b w:val="0"/>
                <w:bCs w:val="0"/>
                <w:color w:val="000000"/>
                <w:sz w:val="20"/>
                <w:szCs w:val="20"/>
              </w:rPr>
              <w:t>Interactive development environment for step-by-step analysis</w:t>
            </w:r>
          </w:p>
        </w:tc>
      </w:tr>
      <w:tr w14:paraId="6CCB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2F52B51">
            <w:pPr>
              <w:jc w:val="left"/>
            </w:pPr>
            <w:r>
              <w:rPr>
                <w:rFonts w:ascii="Arial" w:hAnsi="Arial" w:eastAsia="Arial" w:cs="Arial"/>
                <w:b/>
                <w:bCs/>
                <w:color w:val="000000"/>
                <w:sz w:val="20"/>
                <w:szCs w:val="20"/>
              </w:rPr>
              <w:t>Google Colab</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4538100">
            <w:pPr>
              <w:jc w:val="center"/>
            </w:pPr>
            <w:r>
              <w:rPr>
                <w:rFonts w:ascii="Arial" w:hAnsi="Arial" w:eastAsia="Arial" w:cs="Arial"/>
                <w:b w:val="0"/>
                <w:bCs w:val="0"/>
                <w:color w:val="000000"/>
                <w:sz w:val="20"/>
                <w:szCs w:val="20"/>
              </w:rPr>
              <w:t>Cloud</w:t>
            </w:r>
          </w:p>
        </w:tc>
        <w:tc>
          <w:tcPr>
            <w:tcW w:w="4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CB0A4BC">
            <w:pPr>
              <w:jc w:val="left"/>
            </w:pPr>
            <w:r>
              <w:rPr>
                <w:rFonts w:ascii="Arial" w:hAnsi="Arial" w:eastAsia="Arial" w:cs="Arial"/>
                <w:b w:val="0"/>
                <w:bCs w:val="0"/>
                <w:color w:val="000000"/>
                <w:sz w:val="20"/>
                <w:szCs w:val="20"/>
              </w:rPr>
              <w:t>Alternative execution environment — no local setup required</w:t>
            </w:r>
          </w:p>
        </w:tc>
      </w:tr>
    </w:tbl>
    <w:p w14:paraId="072FB67D">
      <w:pPr>
        <w:spacing w:before="160" w:after="0"/>
      </w:pPr>
    </w:p>
    <w:p w14:paraId="68F1A594">
      <w:pPr>
        <w:pStyle w:val="3"/>
        <w:spacing w:before="240" w:after="80"/>
      </w:pPr>
      <w:r>
        <w:rPr>
          <w:rFonts w:ascii="Arial" w:hAnsi="Arial" w:eastAsia="Arial" w:cs="Arial"/>
          <w:b/>
          <w:bCs/>
          <w:color w:val="000000"/>
          <w:sz w:val="26"/>
          <w:szCs w:val="26"/>
        </w:rPr>
        <w:t>4.2  Python Libraries</w:t>
      </w:r>
    </w:p>
    <w:p w14:paraId="4266B8F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5060"/>
      </w:tblGrid>
      <w:tr w14:paraId="1BA6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16A6ABD3">
            <w:pPr>
              <w:jc w:val="center"/>
            </w:pPr>
            <w:r>
              <w:rPr>
                <w:rFonts w:ascii="Arial" w:hAnsi="Arial" w:eastAsia="Arial" w:cs="Arial"/>
                <w:b/>
                <w:bCs/>
                <w:color w:val="FFFFFF"/>
                <w:sz w:val="20"/>
                <w:szCs w:val="20"/>
              </w:rPr>
              <w:t>Library</w:t>
            </w:r>
          </w:p>
        </w:tc>
        <w:tc>
          <w:tcPr>
            <w:tcW w:w="18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6F311E5D">
            <w:pPr>
              <w:jc w:val="center"/>
            </w:pPr>
            <w:r>
              <w:rPr>
                <w:rFonts w:ascii="Arial" w:hAnsi="Arial" w:eastAsia="Arial" w:cs="Arial"/>
                <w:b/>
                <w:bCs/>
                <w:color w:val="FFFFFF"/>
                <w:sz w:val="20"/>
                <w:szCs w:val="20"/>
              </w:rPr>
              <w:t>Version</w:t>
            </w:r>
          </w:p>
        </w:tc>
        <w:tc>
          <w:tcPr>
            <w:tcW w:w="506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54E9A956">
            <w:pPr>
              <w:jc w:val="center"/>
            </w:pPr>
            <w:r>
              <w:rPr>
                <w:rFonts w:ascii="Arial" w:hAnsi="Arial" w:eastAsia="Arial" w:cs="Arial"/>
                <w:b/>
                <w:bCs/>
                <w:color w:val="FFFFFF"/>
                <w:sz w:val="20"/>
                <w:szCs w:val="20"/>
              </w:rPr>
              <w:t>Role in Project</w:t>
            </w:r>
          </w:p>
        </w:tc>
      </w:tr>
      <w:tr w14:paraId="5E9C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28B4128">
            <w:pPr>
              <w:jc w:val="left"/>
            </w:pPr>
            <w:r>
              <w:rPr>
                <w:rFonts w:ascii="Arial" w:hAnsi="Arial" w:eastAsia="Arial" w:cs="Arial"/>
                <w:b/>
                <w:bCs/>
                <w:color w:val="000000"/>
                <w:sz w:val="20"/>
                <w:szCs w:val="20"/>
              </w:rPr>
              <w:t>Pandas</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998ABFF">
            <w:pPr>
              <w:jc w:val="center"/>
            </w:pPr>
            <w:r>
              <w:rPr>
                <w:rFonts w:ascii="Arial" w:hAnsi="Arial" w:eastAsia="Arial" w:cs="Arial"/>
                <w:b w:val="0"/>
                <w:bCs w:val="0"/>
                <w:color w:val="000000"/>
                <w:sz w:val="20"/>
                <w:szCs w:val="20"/>
              </w:rPr>
              <w:t>2.x</w:t>
            </w:r>
          </w:p>
        </w:tc>
        <w:tc>
          <w:tcPr>
            <w:tcW w:w="50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141B1F7">
            <w:pPr>
              <w:jc w:val="left"/>
            </w:pPr>
            <w:r>
              <w:rPr>
                <w:rFonts w:ascii="Arial" w:hAnsi="Arial" w:eastAsia="Arial" w:cs="Arial"/>
                <w:b w:val="0"/>
                <w:bCs w:val="0"/>
                <w:color w:val="000000"/>
                <w:sz w:val="20"/>
                <w:szCs w:val="20"/>
              </w:rPr>
              <w:t>Data loading, manipulation, cleaning, and feature creation</w:t>
            </w:r>
          </w:p>
        </w:tc>
      </w:tr>
      <w:tr w14:paraId="2D52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48032140">
            <w:pPr>
              <w:jc w:val="left"/>
            </w:pPr>
            <w:r>
              <w:rPr>
                <w:rFonts w:ascii="Arial" w:hAnsi="Arial" w:eastAsia="Arial" w:cs="Arial"/>
                <w:b/>
                <w:bCs/>
                <w:color w:val="000000"/>
                <w:sz w:val="20"/>
                <w:szCs w:val="20"/>
              </w:rPr>
              <w:t>NumPy</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67C1EAD">
            <w:pPr>
              <w:jc w:val="center"/>
            </w:pPr>
            <w:r>
              <w:rPr>
                <w:rFonts w:ascii="Arial" w:hAnsi="Arial" w:eastAsia="Arial" w:cs="Arial"/>
                <w:b w:val="0"/>
                <w:bCs w:val="0"/>
                <w:color w:val="000000"/>
                <w:sz w:val="20"/>
                <w:szCs w:val="20"/>
              </w:rPr>
              <w:t>2.x</w:t>
            </w:r>
          </w:p>
        </w:tc>
        <w:tc>
          <w:tcPr>
            <w:tcW w:w="50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C5AEFA3">
            <w:pPr>
              <w:jc w:val="left"/>
            </w:pPr>
            <w:r>
              <w:rPr>
                <w:rFonts w:ascii="Arial" w:hAnsi="Arial" w:eastAsia="Arial" w:cs="Arial"/>
                <w:b w:val="0"/>
                <w:bCs w:val="0"/>
                <w:color w:val="000000"/>
                <w:sz w:val="20"/>
                <w:szCs w:val="20"/>
              </w:rPr>
              <w:t>Numerical operations, array computations, and random seed control</w:t>
            </w:r>
          </w:p>
        </w:tc>
      </w:tr>
      <w:tr w14:paraId="7489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28C9F5F">
            <w:pPr>
              <w:jc w:val="left"/>
            </w:pPr>
            <w:r>
              <w:rPr>
                <w:rFonts w:ascii="Arial" w:hAnsi="Arial" w:eastAsia="Arial" w:cs="Arial"/>
                <w:b/>
                <w:bCs/>
                <w:color w:val="000000"/>
                <w:sz w:val="20"/>
                <w:szCs w:val="20"/>
              </w:rPr>
              <w:t>Matplotlib</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584CE75">
            <w:pPr>
              <w:jc w:val="center"/>
            </w:pPr>
            <w:r>
              <w:rPr>
                <w:rFonts w:ascii="Arial" w:hAnsi="Arial" w:eastAsia="Arial" w:cs="Arial"/>
                <w:b w:val="0"/>
                <w:bCs w:val="0"/>
                <w:color w:val="000000"/>
                <w:sz w:val="20"/>
                <w:szCs w:val="20"/>
              </w:rPr>
              <w:t>3.x</w:t>
            </w:r>
          </w:p>
        </w:tc>
        <w:tc>
          <w:tcPr>
            <w:tcW w:w="50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C4D6DB4">
            <w:pPr>
              <w:jc w:val="left"/>
            </w:pPr>
            <w:r>
              <w:rPr>
                <w:rFonts w:ascii="Arial" w:hAnsi="Arial" w:eastAsia="Arial" w:cs="Arial"/>
                <w:b w:val="0"/>
                <w:bCs w:val="0"/>
                <w:color w:val="000000"/>
                <w:sz w:val="20"/>
                <w:szCs w:val="20"/>
              </w:rPr>
              <w:t>Core plotting library for all static charts and visualisations</w:t>
            </w:r>
          </w:p>
        </w:tc>
      </w:tr>
      <w:tr w14:paraId="77A4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AC36B8D">
            <w:pPr>
              <w:jc w:val="left"/>
            </w:pPr>
            <w:r>
              <w:rPr>
                <w:rFonts w:ascii="Arial" w:hAnsi="Arial" w:eastAsia="Arial" w:cs="Arial"/>
                <w:b/>
                <w:bCs/>
                <w:color w:val="000000"/>
                <w:sz w:val="20"/>
                <w:szCs w:val="20"/>
              </w:rPr>
              <w:t>Seaborn</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26541103">
            <w:pPr>
              <w:jc w:val="center"/>
            </w:pPr>
            <w:r>
              <w:rPr>
                <w:rFonts w:ascii="Arial" w:hAnsi="Arial" w:eastAsia="Arial" w:cs="Arial"/>
                <w:b w:val="0"/>
                <w:bCs w:val="0"/>
                <w:color w:val="000000"/>
                <w:sz w:val="20"/>
                <w:szCs w:val="20"/>
              </w:rPr>
              <w:t>0.13.x</w:t>
            </w:r>
          </w:p>
        </w:tc>
        <w:tc>
          <w:tcPr>
            <w:tcW w:w="50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656BD610">
            <w:pPr>
              <w:jc w:val="left"/>
            </w:pPr>
            <w:r>
              <w:rPr>
                <w:rFonts w:ascii="Arial" w:hAnsi="Arial" w:eastAsia="Arial" w:cs="Arial"/>
                <w:b w:val="0"/>
                <w:bCs w:val="0"/>
                <w:color w:val="000000"/>
                <w:sz w:val="20"/>
                <w:szCs w:val="20"/>
              </w:rPr>
              <w:t>Statistical visualisation — heatmaps, box plots, distribution plots</w:t>
            </w:r>
          </w:p>
        </w:tc>
      </w:tr>
      <w:tr w14:paraId="3F799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6EAACBA">
            <w:pPr>
              <w:jc w:val="left"/>
            </w:pPr>
            <w:r>
              <w:rPr>
                <w:rFonts w:ascii="Arial" w:hAnsi="Arial" w:eastAsia="Arial" w:cs="Arial"/>
                <w:b/>
                <w:bCs/>
                <w:color w:val="000000"/>
                <w:sz w:val="20"/>
                <w:szCs w:val="20"/>
              </w:rPr>
              <w:t>Scikit-learn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087A03D">
            <w:pPr>
              <w:jc w:val="center"/>
            </w:pPr>
            <w:r>
              <w:rPr>
                <w:rFonts w:ascii="Arial" w:hAnsi="Arial" w:eastAsia="Arial" w:cs="Arial"/>
                <w:b w:val="0"/>
                <w:bCs w:val="0"/>
                <w:color w:val="000000"/>
                <w:sz w:val="20"/>
                <w:szCs w:val="20"/>
              </w:rPr>
              <w:t>1.x</w:t>
            </w:r>
          </w:p>
        </w:tc>
        <w:tc>
          <w:tcPr>
            <w:tcW w:w="50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8EDD1A6">
            <w:pPr>
              <w:jc w:val="left"/>
            </w:pPr>
            <w:r>
              <w:rPr>
                <w:rFonts w:ascii="Arial" w:hAnsi="Arial" w:eastAsia="Arial" w:cs="Arial"/>
                <w:b w:val="0"/>
                <w:bCs w:val="0"/>
                <w:color w:val="000000"/>
                <w:sz w:val="20"/>
                <w:szCs w:val="20"/>
              </w:rPr>
              <w:t>ML algorithms, preprocessing, model evaluation, cross-validation</w:t>
            </w:r>
          </w:p>
        </w:tc>
      </w:tr>
      <w:tr w14:paraId="6E8B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173959F">
            <w:pPr>
              <w:jc w:val="left"/>
            </w:pPr>
            <w:r>
              <w:rPr>
                <w:rFonts w:ascii="Arial" w:hAnsi="Arial" w:eastAsia="Arial" w:cs="Arial"/>
                <w:b/>
                <w:bCs/>
                <w:color w:val="000000"/>
                <w:sz w:val="20"/>
                <w:szCs w:val="20"/>
              </w:rPr>
              <w:t>XGBoost</w:t>
            </w:r>
          </w:p>
        </w:tc>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C5932AB">
            <w:pPr>
              <w:jc w:val="center"/>
            </w:pPr>
            <w:r>
              <w:rPr>
                <w:rFonts w:ascii="Arial" w:hAnsi="Arial" w:eastAsia="Arial" w:cs="Arial"/>
                <w:b w:val="0"/>
                <w:bCs w:val="0"/>
                <w:color w:val="000000"/>
                <w:sz w:val="20"/>
                <w:szCs w:val="20"/>
              </w:rPr>
              <w:t>Latest</w:t>
            </w:r>
          </w:p>
        </w:tc>
        <w:tc>
          <w:tcPr>
            <w:tcW w:w="50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43D29C9D">
            <w:pPr>
              <w:jc w:val="left"/>
            </w:pPr>
            <w:r>
              <w:rPr>
                <w:rFonts w:ascii="Arial" w:hAnsi="Arial" w:eastAsia="Arial" w:cs="Arial"/>
                <w:b w:val="0"/>
                <w:bCs w:val="0"/>
                <w:color w:val="000000"/>
                <w:sz w:val="20"/>
                <w:szCs w:val="20"/>
              </w:rPr>
              <w:t>Gradient boosting algorithm for high-performance classification</w:t>
            </w:r>
          </w:p>
        </w:tc>
      </w:tr>
      <w:tr w14:paraId="14F54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D37B1E4">
            <w:pPr>
              <w:jc w:val="left"/>
            </w:pPr>
            <w:r>
              <w:rPr>
                <w:rFonts w:ascii="Arial" w:hAnsi="Arial" w:eastAsia="Arial" w:cs="Arial"/>
                <w:b/>
                <w:bCs/>
                <w:color w:val="000000"/>
                <w:sz w:val="20"/>
                <w:szCs w:val="20"/>
              </w:rPr>
              <w:t>Pickle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A4DD009">
            <w:pPr>
              <w:jc w:val="center"/>
            </w:pPr>
            <w:r>
              <w:rPr>
                <w:rFonts w:ascii="Arial" w:hAnsi="Arial" w:eastAsia="Arial" w:cs="Arial"/>
                <w:b w:val="0"/>
                <w:bCs w:val="0"/>
                <w:color w:val="000000"/>
                <w:sz w:val="20"/>
                <w:szCs w:val="20"/>
              </w:rPr>
              <w:t>Built-in</w:t>
            </w:r>
          </w:p>
        </w:tc>
        <w:tc>
          <w:tcPr>
            <w:tcW w:w="50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5F3D1E5">
            <w:pPr>
              <w:jc w:val="left"/>
            </w:pPr>
            <w:r>
              <w:rPr>
                <w:rFonts w:ascii="Arial" w:hAnsi="Arial" w:eastAsia="Arial" w:cs="Arial"/>
                <w:b w:val="0"/>
                <w:bCs w:val="0"/>
                <w:color w:val="000000"/>
                <w:sz w:val="20"/>
                <w:szCs w:val="20"/>
              </w:rPr>
              <w:t>Model serialisation and saving for deployment</w:t>
            </w:r>
          </w:p>
        </w:tc>
      </w:tr>
    </w:tbl>
    <w:p w14:paraId="41210EC6">
      <w:pPr>
        <w:spacing w:before="160" w:after="0"/>
      </w:pPr>
    </w:p>
    <w:p w14:paraId="27C2643A">
      <w:pPr>
        <w:pStyle w:val="2"/>
        <w:pBdr>
          <w:bottom w:val="single" w:color="000000" w:sz="6" w:space="1"/>
        </w:pBdr>
        <w:spacing w:before="360" w:after="120"/>
      </w:pPr>
      <w:r>
        <w:rPr>
          <w:rFonts w:ascii="Arial" w:hAnsi="Arial" w:eastAsia="Arial" w:cs="Arial"/>
          <w:b/>
          <w:bCs/>
          <w:color w:val="000000"/>
          <w:sz w:val="32"/>
          <w:szCs w:val="32"/>
        </w:rPr>
        <w:t>5.  Project Workflow</w:t>
      </w:r>
    </w:p>
    <w:p w14:paraId="1C0499B6">
      <w:pPr>
        <w:spacing w:before="80" w:after="100" w:line="300" w:lineRule="auto"/>
        <w:jc w:val="both"/>
      </w:pPr>
      <w:r>
        <w:rPr>
          <w:rFonts w:ascii="Arial" w:hAnsi="Arial" w:eastAsia="Arial" w:cs="Arial"/>
          <w:b w:val="0"/>
          <w:bCs w:val="0"/>
          <w:i w:val="0"/>
          <w:iCs w:val="0"/>
          <w:color w:val="000000"/>
          <w:sz w:val="22"/>
          <w:szCs w:val="22"/>
        </w:rPr>
        <w:t>The project follows a structured eight-step Machine Learning pipeline as described below:</w:t>
      </w:r>
    </w:p>
    <w:p w14:paraId="0C7C7E43">
      <w:pPr>
        <w:pStyle w:val="3"/>
        <w:spacing w:before="240" w:after="80"/>
      </w:pPr>
      <w:r>
        <w:rPr>
          <w:rFonts w:ascii="Arial" w:hAnsi="Arial" w:eastAsia="Arial" w:cs="Arial"/>
          <w:b/>
          <w:bCs/>
          <w:color w:val="000000"/>
          <w:sz w:val="26"/>
          <w:szCs w:val="26"/>
        </w:rPr>
        <w:t>Step 1:  Data Collection</w:t>
      </w:r>
    </w:p>
    <w:p w14:paraId="45B1F075">
      <w:pPr>
        <w:spacing w:before="80" w:after="100" w:line="300" w:lineRule="auto"/>
        <w:jc w:val="both"/>
      </w:pPr>
      <w:r>
        <w:rPr>
          <w:rFonts w:ascii="Arial" w:hAnsi="Arial" w:eastAsia="Arial" w:cs="Arial"/>
          <w:b w:val="0"/>
          <w:bCs w:val="0"/>
          <w:i w:val="0"/>
          <w:iCs w:val="0"/>
          <w:color w:val="000000"/>
          <w:sz w:val="22"/>
          <w:szCs w:val="22"/>
        </w:rPr>
        <w:t>A realistic Telco-style dataset was programmatically generated with 1,000 customer records and 11 features. The churn labels were assigned using a probabilistic logic that mirrors real-world churn drivers — short tenure, month-to-month contracts, high monthly charges, and frequent support calls all contributed to higher churn probability. The dataset was saved as a CSV file and loaded into a Pandas DataFrame.</w:t>
      </w:r>
    </w:p>
    <w:p w14:paraId="58E2E4B7">
      <w:pPr>
        <w:pStyle w:val="3"/>
        <w:spacing w:before="240" w:after="80"/>
      </w:pPr>
      <w:r>
        <w:rPr>
          <w:rFonts w:ascii="Arial" w:hAnsi="Arial" w:eastAsia="Arial" w:cs="Arial"/>
          <w:b/>
          <w:bCs/>
          <w:color w:val="000000"/>
          <w:sz w:val="26"/>
          <w:szCs w:val="26"/>
        </w:rPr>
        <w:t>Step 2:  Data Cleaning &amp; Preprocessing</w:t>
      </w:r>
    </w:p>
    <w:p w14:paraId="0B2374BE">
      <w:pPr>
        <w:pStyle w:val="16"/>
        <w:numPr>
          <w:ilvl w:val="0"/>
          <w:numId w:val="1"/>
        </w:numPr>
        <w:spacing w:before="60" w:after="60" w:line="280" w:lineRule="auto"/>
      </w:pPr>
      <w:r>
        <w:rPr>
          <w:rFonts w:ascii="Arial" w:hAnsi="Arial" w:eastAsia="Arial" w:cs="Arial"/>
          <w:color w:val="000000"/>
          <w:sz w:val="22"/>
          <w:szCs w:val="22"/>
        </w:rPr>
        <w:t>Checked for missing values — none were found.</w:t>
      </w:r>
    </w:p>
    <w:p w14:paraId="738815C2">
      <w:pPr>
        <w:pStyle w:val="16"/>
        <w:numPr>
          <w:ilvl w:val="0"/>
          <w:numId w:val="1"/>
        </w:numPr>
        <w:spacing w:before="60" w:after="60" w:line="280" w:lineRule="auto"/>
      </w:pPr>
      <w:r>
        <w:rPr>
          <w:rFonts w:ascii="Arial" w:hAnsi="Arial" w:eastAsia="Arial" w:cs="Arial"/>
          <w:color w:val="000000"/>
          <w:sz w:val="22"/>
          <w:szCs w:val="22"/>
        </w:rPr>
        <w:t>Checked for and confirmed absence of duplicate records.</w:t>
      </w:r>
    </w:p>
    <w:p w14:paraId="5066E671">
      <w:pPr>
        <w:pStyle w:val="16"/>
        <w:numPr>
          <w:ilvl w:val="0"/>
          <w:numId w:val="1"/>
        </w:numPr>
        <w:spacing w:before="60" w:after="60" w:line="280" w:lineRule="auto"/>
      </w:pPr>
      <w:r>
        <w:rPr>
          <w:rFonts w:ascii="Arial" w:hAnsi="Arial" w:eastAsia="Arial" w:cs="Arial"/>
          <w:color w:val="000000"/>
          <w:sz w:val="22"/>
          <w:szCs w:val="22"/>
        </w:rPr>
        <w:t>Removed the CustomerID column as it is a non-predictive identifier.</w:t>
      </w:r>
    </w:p>
    <w:p w14:paraId="5E11C1D1">
      <w:pPr>
        <w:pStyle w:val="16"/>
        <w:numPr>
          <w:ilvl w:val="0"/>
          <w:numId w:val="1"/>
        </w:numPr>
        <w:spacing w:before="60" w:after="60" w:line="280" w:lineRule="auto"/>
      </w:pPr>
      <w:r>
        <w:rPr>
          <w:rFonts w:ascii="Arial" w:hAnsi="Arial" w:eastAsia="Arial" w:cs="Arial"/>
          <w:color w:val="000000"/>
          <w:sz w:val="22"/>
          <w:szCs w:val="22"/>
        </w:rPr>
        <w:t>Encoded the target variable Churn from 'Yes'/'No' to binary 1/0.</w:t>
      </w:r>
    </w:p>
    <w:p w14:paraId="195AA704">
      <w:pPr>
        <w:pStyle w:val="16"/>
        <w:numPr>
          <w:ilvl w:val="0"/>
          <w:numId w:val="1"/>
        </w:numPr>
        <w:spacing w:before="60" w:after="60" w:line="280" w:lineRule="auto"/>
      </w:pPr>
      <w:r>
        <w:rPr>
          <w:rFonts w:ascii="Arial" w:hAnsi="Arial" w:eastAsia="Arial" w:cs="Arial"/>
          <w:color w:val="000000"/>
          <w:sz w:val="22"/>
          <w:szCs w:val="22"/>
        </w:rPr>
        <w:t>Applied Label Encoding to all categorical features: Gender, ContractType, PaymentMethod, and InternetService.</w:t>
      </w:r>
    </w:p>
    <w:p w14:paraId="463A0F68">
      <w:pPr>
        <w:pStyle w:val="16"/>
        <w:numPr>
          <w:ilvl w:val="0"/>
          <w:numId w:val="1"/>
        </w:numPr>
        <w:spacing w:before="60" w:after="60" w:line="280" w:lineRule="auto"/>
      </w:pPr>
      <w:r>
        <w:rPr>
          <w:rFonts w:ascii="Arial" w:hAnsi="Arial" w:eastAsia="Arial" w:cs="Arial"/>
          <w:color w:val="000000"/>
          <w:sz w:val="22"/>
          <w:szCs w:val="22"/>
        </w:rPr>
        <w:t>Applied StandardScaler normalisation to all numerical features to ensure equal contribution to model training.</w:t>
      </w:r>
    </w:p>
    <w:p w14:paraId="79115DD5">
      <w:pPr>
        <w:pStyle w:val="3"/>
        <w:spacing w:before="240" w:after="80"/>
      </w:pPr>
      <w:r>
        <w:rPr>
          <w:rFonts w:ascii="Arial" w:hAnsi="Arial" w:eastAsia="Arial" w:cs="Arial"/>
          <w:b/>
          <w:bCs/>
          <w:color w:val="000000"/>
          <w:sz w:val="26"/>
          <w:szCs w:val="26"/>
        </w:rPr>
        <w:t>Step 3:  Exploratory Data Analysis (EDA)</w:t>
      </w:r>
    </w:p>
    <w:p w14:paraId="23C0EADD">
      <w:pPr>
        <w:spacing w:before="80" w:after="100" w:line="300" w:lineRule="auto"/>
        <w:jc w:val="both"/>
      </w:pPr>
      <w:r>
        <w:rPr>
          <w:rFonts w:ascii="Arial" w:hAnsi="Arial" w:eastAsia="Arial" w:cs="Arial"/>
          <w:b w:val="0"/>
          <w:bCs w:val="0"/>
          <w:i w:val="0"/>
          <w:iCs w:val="0"/>
          <w:color w:val="000000"/>
          <w:sz w:val="22"/>
          <w:szCs w:val="22"/>
        </w:rPr>
        <w:t>A comprehensive EDA was conducted to understand the distribution of features, identify patterns, and uncover relationships between variables and churn. Eleven visualisation charts were produced (see Section 6).</w:t>
      </w:r>
    </w:p>
    <w:p w14:paraId="562FAF98">
      <w:pPr>
        <w:pStyle w:val="3"/>
        <w:spacing w:before="240" w:after="80"/>
      </w:pPr>
      <w:r>
        <w:rPr>
          <w:rFonts w:ascii="Arial" w:hAnsi="Arial" w:eastAsia="Arial" w:cs="Arial"/>
          <w:b/>
          <w:bCs/>
          <w:color w:val="000000"/>
          <w:sz w:val="26"/>
          <w:szCs w:val="26"/>
        </w:rPr>
        <w:t>Step 4:  Feature Engineering</w:t>
      </w:r>
    </w:p>
    <w:p w14:paraId="32C301A2">
      <w:pPr>
        <w:spacing w:before="80" w:after="100" w:line="300" w:lineRule="auto"/>
        <w:jc w:val="both"/>
      </w:pPr>
      <w:r>
        <w:rPr>
          <w:rFonts w:ascii="Arial" w:hAnsi="Arial" w:eastAsia="Arial" w:cs="Arial"/>
          <w:b w:val="0"/>
          <w:bCs w:val="0"/>
          <w:i w:val="0"/>
          <w:iCs w:val="0"/>
          <w:color w:val="000000"/>
          <w:sz w:val="22"/>
          <w:szCs w:val="22"/>
        </w:rPr>
        <w:t>Four new engineered features were created to improve model performance:</w:t>
      </w:r>
    </w:p>
    <w:p w14:paraId="62736037">
      <w:pPr>
        <w:pStyle w:val="16"/>
        <w:numPr>
          <w:ilvl w:val="0"/>
          <w:numId w:val="1"/>
        </w:numPr>
        <w:spacing w:before="60" w:after="60" w:line="280" w:lineRule="auto"/>
      </w:pPr>
      <w:r>
        <w:rPr>
          <w:rFonts w:ascii="Arial" w:hAnsi="Arial" w:eastAsia="Arial" w:cs="Arial"/>
          <w:color w:val="000000"/>
          <w:sz w:val="22"/>
          <w:szCs w:val="22"/>
        </w:rPr>
        <w:t>ChargesPerMonth — Total charges divided by tenure, normalising billing per active month.</w:t>
      </w:r>
    </w:p>
    <w:p w14:paraId="43CD32A1">
      <w:pPr>
        <w:pStyle w:val="16"/>
        <w:numPr>
          <w:ilvl w:val="0"/>
          <w:numId w:val="1"/>
        </w:numPr>
        <w:spacing w:before="60" w:after="60" w:line="280" w:lineRule="auto"/>
      </w:pPr>
      <w:r>
        <w:rPr>
          <w:rFonts w:ascii="Arial" w:hAnsi="Arial" w:eastAsia="Arial" w:cs="Arial"/>
          <w:color w:val="000000"/>
          <w:sz w:val="22"/>
          <w:szCs w:val="22"/>
        </w:rPr>
        <w:t>SupportCallRate — Support calls divided by tenure, capturing relative dissatisfaction.</w:t>
      </w:r>
    </w:p>
    <w:p w14:paraId="32EA70FF">
      <w:pPr>
        <w:pStyle w:val="16"/>
        <w:numPr>
          <w:ilvl w:val="0"/>
          <w:numId w:val="1"/>
        </w:numPr>
        <w:spacing w:before="60" w:after="60" w:line="280" w:lineRule="auto"/>
      </w:pPr>
      <w:r>
        <w:rPr>
          <w:rFonts w:ascii="Arial" w:hAnsi="Arial" w:eastAsia="Arial" w:cs="Arial"/>
          <w:color w:val="000000"/>
          <w:sz w:val="22"/>
          <w:szCs w:val="22"/>
        </w:rPr>
        <w:t>IsNewCustomer — Binary flag (1 if tenure &lt; 12 months), capturing new customer vulnerability.</w:t>
      </w:r>
    </w:p>
    <w:p w14:paraId="379C7EFD">
      <w:pPr>
        <w:pStyle w:val="16"/>
        <w:numPr>
          <w:ilvl w:val="0"/>
          <w:numId w:val="1"/>
        </w:numPr>
        <w:spacing w:before="60" w:after="60" w:line="280" w:lineRule="auto"/>
      </w:pPr>
      <w:r>
        <w:rPr>
          <w:rFonts w:ascii="Arial" w:hAnsi="Arial" w:eastAsia="Arial" w:cs="Arial"/>
          <w:color w:val="000000"/>
          <w:sz w:val="22"/>
          <w:szCs w:val="22"/>
        </w:rPr>
        <w:t>IsHighValue — Binary flag (1 if monthly charges above median), segmenting high-value customers.</w:t>
      </w:r>
    </w:p>
    <w:p w14:paraId="32F6DF8A">
      <w:pPr>
        <w:pStyle w:val="3"/>
        <w:spacing w:before="240" w:after="80"/>
      </w:pPr>
      <w:r>
        <w:rPr>
          <w:rFonts w:ascii="Arial" w:hAnsi="Arial" w:eastAsia="Arial" w:cs="Arial"/>
          <w:b/>
          <w:bCs/>
          <w:color w:val="000000"/>
          <w:sz w:val="26"/>
          <w:szCs w:val="26"/>
        </w:rPr>
        <w:t>Step 5:  Model Training</w:t>
      </w:r>
    </w:p>
    <w:p w14:paraId="1CD6F391">
      <w:pPr>
        <w:spacing w:before="80" w:after="100" w:line="300" w:lineRule="auto"/>
        <w:jc w:val="both"/>
      </w:pPr>
      <w:r>
        <w:rPr>
          <w:rFonts w:ascii="Arial" w:hAnsi="Arial" w:eastAsia="Arial" w:cs="Arial"/>
          <w:b w:val="0"/>
          <w:bCs w:val="0"/>
          <w:i w:val="0"/>
          <w:iCs w:val="0"/>
          <w:color w:val="000000"/>
          <w:sz w:val="22"/>
          <w:szCs w:val="22"/>
        </w:rPr>
        <w:t>The dataset was split 80% training / 20% testing with stratified sampling to preserve the churn ratio. Four classification models were trained with 5-Fold Stratified Cross-Validation:</w:t>
      </w:r>
    </w:p>
    <w:p w14:paraId="29B3163D">
      <w:pPr>
        <w:pStyle w:val="16"/>
        <w:numPr>
          <w:ilvl w:val="0"/>
          <w:numId w:val="1"/>
        </w:numPr>
        <w:spacing w:before="60" w:after="60" w:line="280" w:lineRule="auto"/>
      </w:pPr>
      <w:r>
        <w:rPr>
          <w:rFonts w:ascii="Arial" w:hAnsi="Arial" w:eastAsia="Arial" w:cs="Arial"/>
          <w:color w:val="000000"/>
          <w:sz w:val="22"/>
          <w:szCs w:val="22"/>
        </w:rPr>
        <w:t>Logistic Regression — Linear baseline classifier.</w:t>
      </w:r>
    </w:p>
    <w:p w14:paraId="2213FBC5">
      <w:pPr>
        <w:pStyle w:val="16"/>
        <w:numPr>
          <w:ilvl w:val="0"/>
          <w:numId w:val="1"/>
        </w:numPr>
        <w:spacing w:before="60" w:after="60" w:line="280" w:lineRule="auto"/>
      </w:pPr>
      <w:r>
        <w:rPr>
          <w:rFonts w:ascii="Arial" w:hAnsi="Arial" w:eastAsia="Arial" w:cs="Arial"/>
          <w:color w:val="000000"/>
          <w:sz w:val="22"/>
          <w:szCs w:val="22"/>
        </w:rPr>
        <w:t>Decision Tree — Non-linear tree-based classifier with max_depth=6.</w:t>
      </w:r>
    </w:p>
    <w:p w14:paraId="7A8BAB19">
      <w:pPr>
        <w:pStyle w:val="16"/>
        <w:numPr>
          <w:ilvl w:val="0"/>
          <w:numId w:val="1"/>
        </w:numPr>
        <w:spacing w:before="60" w:after="60" w:line="280" w:lineRule="auto"/>
      </w:pPr>
      <w:r>
        <w:rPr>
          <w:rFonts w:ascii="Arial" w:hAnsi="Arial" w:eastAsia="Arial" w:cs="Arial"/>
          <w:color w:val="000000"/>
          <w:sz w:val="22"/>
          <w:szCs w:val="22"/>
        </w:rPr>
        <w:t>Random Forest — Ensemble of 150 decision trees with max_depth=8.</w:t>
      </w:r>
    </w:p>
    <w:p w14:paraId="785EB7BE">
      <w:pPr>
        <w:pStyle w:val="16"/>
        <w:numPr>
          <w:ilvl w:val="0"/>
          <w:numId w:val="1"/>
        </w:numPr>
        <w:spacing w:before="60" w:after="60" w:line="280" w:lineRule="auto"/>
      </w:pPr>
      <w:r>
        <w:rPr>
          <w:rFonts w:ascii="Arial" w:hAnsi="Arial" w:eastAsia="Arial" w:cs="Arial"/>
          <w:color w:val="000000"/>
          <w:sz w:val="22"/>
          <w:szCs w:val="22"/>
        </w:rPr>
        <w:t>XGBoost — Gradient boosted trees with 150 estimators, learning_rate=0.1.</w:t>
      </w:r>
    </w:p>
    <w:p w14:paraId="70B15586">
      <w:pPr>
        <w:pStyle w:val="3"/>
        <w:spacing w:before="240" w:after="80"/>
      </w:pPr>
      <w:r>
        <w:rPr>
          <w:rFonts w:ascii="Arial" w:hAnsi="Arial" w:eastAsia="Arial" w:cs="Arial"/>
          <w:b/>
          <w:bCs/>
          <w:color w:val="000000"/>
          <w:sz w:val="26"/>
          <w:szCs w:val="26"/>
        </w:rPr>
        <w:t>Step 6:  Model Evaluation</w:t>
      </w:r>
    </w:p>
    <w:p w14:paraId="7D69B9F6">
      <w:pPr>
        <w:spacing w:before="80" w:after="100" w:line="300" w:lineRule="auto"/>
        <w:jc w:val="both"/>
      </w:pPr>
      <w:r>
        <w:rPr>
          <w:rFonts w:ascii="Arial" w:hAnsi="Arial" w:eastAsia="Arial" w:cs="Arial"/>
          <w:b w:val="0"/>
          <w:bCs w:val="0"/>
          <w:i w:val="0"/>
          <w:iCs w:val="0"/>
          <w:color w:val="000000"/>
          <w:sz w:val="22"/>
          <w:szCs w:val="22"/>
        </w:rPr>
        <w:t>All models were evaluated on the held-out test set (200 samples) using five metrics: Accuracy, Precision, Recall, F1 Score, and ROC-AUC. Confusion matrices and ROC curves were generated for each model.</w:t>
      </w:r>
    </w:p>
    <w:p w14:paraId="01474318">
      <w:pPr>
        <w:pStyle w:val="3"/>
        <w:spacing w:before="240" w:after="80"/>
      </w:pPr>
      <w:r>
        <w:rPr>
          <w:rFonts w:ascii="Arial" w:hAnsi="Arial" w:eastAsia="Arial" w:cs="Arial"/>
          <w:b/>
          <w:bCs/>
          <w:color w:val="000000"/>
          <w:sz w:val="26"/>
          <w:szCs w:val="26"/>
        </w:rPr>
        <w:t>Step 7:  Prediction &amp; Results</w:t>
      </w:r>
    </w:p>
    <w:p w14:paraId="4654FC8F">
      <w:pPr>
        <w:spacing w:before="80" w:after="100" w:line="300" w:lineRule="auto"/>
        <w:jc w:val="both"/>
      </w:pPr>
      <w:r>
        <w:rPr>
          <w:rFonts w:ascii="Arial" w:hAnsi="Arial" w:eastAsia="Arial" w:cs="Arial"/>
          <w:b w:val="0"/>
          <w:bCs w:val="0"/>
          <w:i w:val="0"/>
          <w:iCs w:val="0"/>
          <w:color w:val="000000"/>
          <w:sz w:val="22"/>
          <w:szCs w:val="22"/>
        </w:rPr>
        <w:t>The best-performing model was used to generate churn predictions and probability scores for all test customers. Customers were classified into three risk tiers — Low Risk (&lt;30%), Medium Risk (30–60%), and High Risk (&gt;60%) — to enable prioritised business action.</w:t>
      </w:r>
    </w:p>
    <w:p w14:paraId="4D0223C5">
      <w:pPr>
        <w:pStyle w:val="3"/>
        <w:spacing w:before="240" w:after="80"/>
      </w:pPr>
      <w:r>
        <w:rPr>
          <w:rFonts w:ascii="Arial" w:hAnsi="Arial" w:eastAsia="Arial" w:cs="Arial"/>
          <w:b/>
          <w:bCs/>
          <w:color w:val="000000"/>
          <w:sz w:val="26"/>
          <w:szCs w:val="26"/>
        </w:rPr>
        <w:t>Step 8:  Deployment</w:t>
      </w:r>
    </w:p>
    <w:p w14:paraId="5FF336AB">
      <w:pPr>
        <w:spacing w:before="80" w:after="100" w:line="300" w:lineRule="auto"/>
        <w:jc w:val="both"/>
      </w:pPr>
      <w:r>
        <w:rPr>
          <w:rFonts w:ascii="Arial" w:hAnsi="Arial" w:eastAsia="Arial" w:cs="Arial"/>
          <w:b w:val="0"/>
          <w:bCs w:val="0"/>
          <w:i w:val="0"/>
          <w:iCs w:val="0"/>
          <w:color w:val="000000"/>
          <w:sz w:val="22"/>
          <w:szCs w:val="22"/>
        </w:rPr>
        <w:t>The trained model and scaler were serialised using Python's Pickle library and saved as .pkl files. A deployment demonstration was included showing real-time prediction for a new customer profile, simulating integration with a production CRM system.</w:t>
      </w:r>
    </w:p>
    <w:p w14:paraId="1460568B">
      <w:pPr>
        <w:pStyle w:val="2"/>
        <w:pBdr>
          <w:bottom w:val="single" w:color="000000" w:sz="6" w:space="1"/>
        </w:pBdr>
        <w:spacing w:before="360" w:after="120"/>
      </w:pPr>
      <w:r>
        <w:rPr>
          <w:rFonts w:ascii="Arial" w:hAnsi="Arial" w:eastAsia="Arial" w:cs="Arial"/>
          <w:b/>
          <w:bCs/>
          <w:color w:val="000000"/>
          <w:sz w:val="32"/>
          <w:szCs w:val="32"/>
        </w:rPr>
        <w:t>6.  Exploratory Data Analysis (EDA)</w:t>
      </w:r>
    </w:p>
    <w:p w14:paraId="37F72F02">
      <w:pPr>
        <w:spacing w:before="80" w:after="100" w:line="300" w:lineRule="auto"/>
        <w:jc w:val="both"/>
      </w:pPr>
      <w:r>
        <w:rPr>
          <w:rFonts w:ascii="Arial" w:hAnsi="Arial" w:eastAsia="Arial" w:cs="Arial"/>
          <w:b w:val="0"/>
          <w:bCs w:val="0"/>
          <w:i w:val="0"/>
          <w:iCs w:val="0"/>
          <w:color w:val="000000"/>
          <w:sz w:val="22"/>
          <w:szCs w:val="22"/>
        </w:rPr>
        <w:t>A comprehensive EDA was performed to understand the distribution of features, the overall churn rate, and the relationships between each variable and customer churn. The following eleven charts were produced:</w:t>
      </w:r>
    </w:p>
    <w:p w14:paraId="79379E33">
      <w:pPr>
        <w:pStyle w:val="3"/>
        <w:spacing w:before="240" w:after="80"/>
      </w:pPr>
      <w:r>
        <w:rPr>
          <w:rFonts w:ascii="Arial" w:hAnsi="Arial" w:eastAsia="Arial" w:cs="Arial"/>
          <w:b/>
          <w:bCs/>
          <w:color w:val="000000"/>
          <w:sz w:val="26"/>
          <w:szCs w:val="26"/>
        </w:rPr>
        <w:t>6.1  Churn Distribution</w:t>
      </w:r>
    </w:p>
    <w:p w14:paraId="7508DE82">
      <w:pPr>
        <w:spacing w:before="80" w:after="100" w:line="300" w:lineRule="auto"/>
        <w:jc w:val="both"/>
      </w:pPr>
      <w:r>
        <w:rPr>
          <w:rFonts w:ascii="Arial" w:hAnsi="Arial" w:eastAsia="Arial" w:cs="Arial"/>
          <w:b w:val="0"/>
          <w:bCs w:val="0"/>
          <w:i w:val="0"/>
          <w:iCs w:val="0"/>
          <w:color w:val="000000"/>
          <w:sz w:val="22"/>
          <w:szCs w:val="22"/>
        </w:rPr>
        <w:t>The dataset contains 610 non-churned customers (61%) and 390 churned customers (39%). This represents a moderately imbalanced dataset, reflecting realistic business churn scenarios.</w:t>
      </w:r>
    </w:p>
    <w:p w14:paraId="4A58FFE6">
      <w:pPr>
        <w:spacing w:before="80" w:after="160"/>
        <w:jc w:val="center"/>
      </w:pPr>
      <w:r>
        <w:rPr>
          <w:rFonts w:ascii="Arial" w:hAnsi="Arial" w:eastAsia="Arial" w:cs="Arial"/>
          <w:i/>
          <w:iCs/>
          <w:color w:val="000000"/>
          <w:sz w:val="20"/>
          <w:szCs w:val="20"/>
        </w:rPr>
        <w:t>Figure 1: Churn Distribution — Pie Chart and Bar Chart</w:t>
      </w:r>
    </w:p>
    <w:p w14:paraId="36464890">
      <w:pPr>
        <w:pStyle w:val="3"/>
        <w:spacing w:before="240" w:after="80"/>
      </w:pPr>
      <w:r>
        <w:rPr>
          <w:rFonts w:ascii="Arial" w:hAnsi="Arial" w:eastAsia="Arial" w:cs="Arial"/>
          <w:b/>
          <w:bCs/>
          <w:color w:val="000000"/>
          <w:sz w:val="26"/>
          <w:szCs w:val="26"/>
        </w:rPr>
        <w:t>6.2  Categorical Features vs. Churn</w:t>
      </w:r>
    </w:p>
    <w:p w14:paraId="1349C17A">
      <w:pPr>
        <w:spacing w:before="80" w:after="100" w:line="300" w:lineRule="auto"/>
        <w:jc w:val="both"/>
      </w:pPr>
      <w:r>
        <w:rPr>
          <w:rFonts w:ascii="Arial" w:hAnsi="Arial" w:eastAsia="Arial" w:cs="Arial"/>
          <w:b w:val="0"/>
          <w:bCs w:val="0"/>
          <w:i w:val="0"/>
          <w:iCs w:val="0"/>
          <w:color w:val="000000"/>
          <w:sz w:val="22"/>
          <w:szCs w:val="22"/>
        </w:rPr>
        <w:t>Analysis of categorical features reveals that Contract Type is the strongest categorical predictor of churn. Month-to-month contract customers show significantly higher churn rates compared to one-year or two-year contract holders. Payment method and internet service type also show notable variation in churn rates.</w:t>
      </w:r>
    </w:p>
    <w:p w14:paraId="3CB31A8A">
      <w:pPr>
        <w:spacing w:before="80" w:after="160"/>
        <w:jc w:val="center"/>
      </w:pPr>
      <w:r>
        <w:rPr>
          <w:rFonts w:ascii="Arial" w:hAnsi="Arial" w:eastAsia="Arial" w:cs="Arial"/>
          <w:i/>
          <w:iCs/>
          <w:color w:val="000000"/>
          <w:sz w:val="20"/>
          <w:szCs w:val="20"/>
        </w:rPr>
        <w:t>Figure 2: Churn Rate by Categorical Features (Gender, Contract Type, Payment Method, Internet Service)</w:t>
      </w:r>
    </w:p>
    <w:p w14:paraId="41450988">
      <w:pPr>
        <w:pStyle w:val="3"/>
        <w:spacing w:before="240" w:after="80"/>
      </w:pPr>
      <w:r>
        <w:rPr>
          <w:rFonts w:ascii="Arial" w:hAnsi="Arial" w:eastAsia="Arial" w:cs="Arial"/>
          <w:b/>
          <w:bCs/>
          <w:color w:val="000000"/>
          <w:sz w:val="26"/>
          <w:szCs w:val="26"/>
        </w:rPr>
        <w:t>6.3  Numerical Feature Distributions</w:t>
      </w:r>
    </w:p>
    <w:p w14:paraId="3EBEF6E5">
      <w:pPr>
        <w:spacing w:before="80" w:after="100" w:line="300" w:lineRule="auto"/>
        <w:jc w:val="both"/>
      </w:pPr>
      <w:r>
        <w:rPr>
          <w:rFonts w:ascii="Arial" w:hAnsi="Arial" w:eastAsia="Arial" w:cs="Arial"/>
          <w:b w:val="0"/>
          <w:bCs w:val="0"/>
          <w:i w:val="0"/>
          <w:iCs w:val="0"/>
          <w:color w:val="000000"/>
          <w:sz w:val="22"/>
          <w:szCs w:val="22"/>
        </w:rPr>
        <w:t>Distribution analysis shows clear separation between churned and non-churned customers across key numerical features. Churned customers tend to have shorter tenure, higher monthly charges, and more customer support calls than retained customers.</w:t>
      </w:r>
    </w:p>
    <w:p w14:paraId="2314BC3F">
      <w:pPr>
        <w:spacing w:before="80" w:after="160"/>
        <w:jc w:val="center"/>
      </w:pPr>
      <w:r>
        <w:rPr>
          <w:rFonts w:ascii="Arial" w:hAnsi="Arial" w:eastAsia="Arial" w:cs="Arial"/>
          <w:i/>
          <w:iCs/>
          <w:color w:val="000000"/>
          <w:sz w:val="20"/>
          <w:szCs w:val="20"/>
        </w:rPr>
        <w:t>Figure 3: Distribution of Numerical Features by Churn Status</w:t>
      </w:r>
    </w:p>
    <w:p w14:paraId="3C779334">
      <w:pPr>
        <w:pStyle w:val="3"/>
        <w:spacing w:before="240" w:after="80"/>
      </w:pPr>
      <w:r>
        <w:rPr>
          <w:rFonts w:ascii="Arial" w:hAnsi="Arial" w:eastAsia="Arial" w:cs="Arial"/>
          <w:b/>
          <w:bCs/>
          <w:color w:val="000000"/>
          <w:sz w:val="26"/>
          <w:szCs w:val="26"/>
        </w:rPr>
        <w:t>6.4  Correlation Heatmap</w:t>
      </w:r>
    </w:p>
    <w:p w14:paraId="67377EEF">
      <w:pPr>
        <w:spacing w:before="80" w:after="100" w:line="300" w:lineRule="auto"/>
        <w:jc w:val="both"/>
      </w:pPr>
      <w:r>
        <w:rPr>
          <w:rFonts w:ascii="Arial" w:hAnsi="Arial" w:eastAsia="Arial" w:cs="Arial"/>
          <w:b w:val="0"/>
          <w:bCs w:val="0"/>
          <w:i w:val="0"/>
          <w:iCs w:val="0"/>
          <w:color w:val="000000"/>
          <w:sz w:val="22"/>
          <w:szCs w:val="22"/>
        </w:rPr>
        <w:t>The correlation heatmap reveals that TotalCharges is highly correlated with both Tenure and MonthlyCharges (as expected), while CustomerSupportCalls and ContractType show the strongest direct correlations with the Churn target variable.</w:t>
      </w:r>
    </w:p>
    <w:p w14:paraId="0470E89F">
      <w:pPr>
        <w:spacing w:before="80" w:after="160"/>
        <w:jc w:val="center"/>
      </w:pPr>
      <w:r>
        <w:rPr>
          <w:rFonts w:ascii="Arial" w:hAnsi="Arial" w:eastAsia="Arial" w:cs="Arial"/>
          <w:i/>
          <w:iCs/>
          <w:color w:val="000000"/>
          <w:sz w:val="20"/>
          <w:szCs w:val="20"/>
        </w:rPr>
        <w:t>Figure 4: Feature Correlation Heatmap</w:t>
      </w:r>
    </w:p>
    <w:p w14:paraId="7171E0FF">
      <w:pPr>
        <w:pStyle w:val="3"/>
        <w:spacing w:before="240" w:after="80"/>
      </w:pPr>
      <w:r>
        <w:rPr>
          <w:rFonts w:ascii="Arial" w:hAnsi="Arial" w:eastAsia="Arial" w:cs="Arial"/>
          <w:b/>
          <w:bCs/>
          <w:color w:val="000000"/>
          <w:sz w:val="26"/>
          <w:szCs w:val="26"/>
        </w:rPr>
        <w:t>6.5  Box Plots — Key Features vs. Churn</w:t>
      </w:r>
    </w:p>
    <w:p w14:paraId="22233CC8">
      <w:pPr>
        <w:spacing w:before="80" w:after="100" w:line="300" w:lineRule="auto"/>
        <w:jc w:val="both"/>
      </w:pPr>
      <w:r>
        <w:rPr>
          <w:rFonts w:ascii="Arial" w:hAnsi="Arial" w:eastAsia="Arial" w:cs="Arial"/>
          <w:b w:val="0"/>
          <w:bCs w:val="0"/>
          <w:i w:val="0"/>
          <w:iCs w:val="0"/>
          <w:color w:val="000000"/>
          <w:sz w:val="22"/>
          <w:szCs w:val="22"/>
        </w:rPr>
        <w:t>Box plots confirm that churned customers (label=1) have higher median monthly charges, shorter tenure, and significantly more support calls compared to retained customers. These patterns are consistent across the dataset and are well captured by the ML models.</w:t>
      </w:r>
    </w:p>
    <w:p w14:paraId="4A27FB60">
      <w:pPr>
        <w:spacing w:before="80" w:after="160"/>
        <w:jc w:val="center"/>
      </w:pPr>
      <w:r>
        <w:rPr>
          <w:rFonts w:ascii="Arial" w:hAnsi="Arial" w:eastAsia="Arial" w:cs="Arial"/>
          <w:i/>
          <w:iCs/>
          <w:color w:val="000000"/>
          <w:sz w:val="20"/>
          <w:szCs w:val="20"/>
        </w:rPr>
        <w:t>Figure 5: Box Plots — MonthlyCharges, Tenure, CustomerSupportCalls vs. Churn</w:t>
      </w:r>
    </w:p>
    <w:p w14:paraId="2C5A7C96">
      <w:pPr>
        <w:pStyle w:val="2"/>
        <w:pBdr>
          <w:bottom w:val="single" w:color="000000" w:sz="6" w:space="1"/>
        </w:pBdr>
        <w:spacing w:before="360" w:after="120"/>
      </w:pPr>
      <w:r>
        <w:rPr>
          <w:rFonts w:ascii="Arial" w:hAnsi="Arial" w:eastAsia="Arial" w:cs="Arial"/>
          <w:b/>
          <w:bCs/>
          <w:color w:val="000000"/>
          <w:sz w:val="32"/>
          <w:szCs w:val="32"/>
        </w:rPr>
        <w:t>7.  Model Training &amp; Evaluation</w:t>
      </w:r>
    </w:p>
    <w:p w14:paraId="1D174423">
      <w:pPr>
        <w:pStyle w:val="3"/>
        <w:spacing w:before="240" w:after="80"/>
      </w:pPr>
      <w:r>
        <w:rPr>
          <w:rFonts w:ascii="Arial" w:hAnsi="Arial" w:eastAsia="Arial" w:cs="Arial"/>
          <w:b/>
          <w:bCs/>
          <w:color w:val="000000"/>
          <w:sz w:val="26"/>
          <w:szCs w:val="26"/>
        </w:rPr>
        <w:t>7.1  Machine Learning Algorithms</w:t>
      </w:r>
    </w:p>
    <w:p w14:paraId="13EC6C3C">
      <w:pPr>
        <w:pStyle w:val="4"/>
        <w:spacing w:before="200" w:after="60"/>
      </w:pPr>
      <w:r>
        <w:rPr>
          <w:rFonts w:ascii="Arial" w:hAnsi="Arial" w:eastAsia="Arial" w:cs="Arial"/>
          <w:b/>
          <w:bCs/>
          <w:color w:val="000000"/>
          <w:sz w:val="22"/>
          <w:szCs w:val="22"/>
        </w:rPr>
        <w:t>7.1.1  Logistic Regression</w:t>
      </w:r>
    </w:p>
    <w:p w14:paraId="3713E3B1">
      <w:pPr>
        <w:spacing w:before="80" w:after="100" w:line="300" w:lineRule="auto"/>
        <w:jc w:val="both"/>
      </w:pPr>
      <w:r>
        <w:rPr>
          <w:rFonts w:ascii="Arial" w:hAnsi="Arial" w:eastAsia="Arial" w:cs="Arial"/>
          <w:b w:val="0"/>
          <w:bCs w:val="0"/>
          <w:i w:val="0"/>
          <w:iCs w:val="0"/>
          <w:color w:val="000000"/>
          <w:sz w:val="22"/>
          <w:szCs w:val="22"/>
        </w:rPr>
        <w:t>Logistic Regression is a linear classification algorithm that models the probability of a binary outcome using the logistic (sigmoid) function. It served as the baseline model in this project. It is interpretable, fast, and works well on linearly separable data. Parameters: max_iter=1000, random_state=42.</w:t>
      </w:r>
    </w:p>
    <w:p w14:paraId="59FB0800">
      <w:pPr>
        <w:pStyle w:val="4"/>
        <w:spacing w:before="200" w:after="60"/>
      </w:pPr>
      <w:r>
        <w:rPr>
          <w:rFonts w:ascii="Arial" w:hAnsi="Arial" w:eastAsia="Arial" w:cs="Arial"/>
          <w:b/>
          <w:bCs/>
          <w:color w:val="000000"/>
          <w:sz w:val="22"/>
          <w:szCs w:val="22"/>
        </w:rPr>
        <w:t>7.1.2  Decision Tree Classifier</w:t>
      </w:r>
    </w:p>
    <w:p w14:paraId="759760A1">
      <w:pPr>
        <w:spacing w:before="80" w:after="100" w:line="300" w:lineRule="auto"/>
        <w:jc w:val="both"/>
      </w:pPr>
      <w:r>
        <w:rPr>
          <w:rFonts w:ascii="Arial" w:hAnsi="Arial" w:eastAsia="Arial" w:cs="Arial"/>
          <w:b w:val="0"/>
          <w:bCs w:val="0"/>
          <w:i w:val="0"/>
          <w:iCs w:val="0"/>
          <w:color w:val="000000"/>
          <w:sz w:val="22"/>
          <w:szCs w:val="22"/>
        </w:rPr>
        <w:t>A Decision Tree recursively splits the data based on feature thresholds to create a tree-like decision structure. It is highly interpretable and captures non-linear relationships. Parameters: max_depth=6, random_state=42. Depth was limited to prevent overfitting.</w:t>
      </w:r>
    </w:p>
    <w:p w14:paraId="1C1CB687">
      <w:pPr>
        <w:pStyle w:val="4"/>
        <w:spacing w:before="200" w:after="60"/>
      </w:pPr>
      <w:r>
        <w:rPr>
          <w:rFonts w:ascii="Arial" w:hAnsi="Arial" w:eastAsia="Arial" w:cs="Arial"/>
          <w:b/>
          <w:bCs/>
          <w:color w:val="000000"/>
          <w:sz w:val="22"/>
          <w:szCs w:val="22"/>
        </w:rPr>
        <w:t>7.1.3  Random Forest Classifier</w:t>
      </w:r>
    </w:p>
    <w:p w14:paraId="72874FBE">
      <w:pPr>
        <w:spacing w:before="80" w:after="100" w:line="300" w:lineRule="auto"/>
        <w:jc w:val="both"/>
      </w:pPr>
      <w:r>
        <w:rPr>
          <w:rFonts w:ascii="Arial" w:hAnsi="Arial" w:eastAsia="Arial" w:cs="Arial"/>
          <w:b w:val="0"/>
          <w:bCs w:val="0"/>
          <w:i w:val="0"/>
          <w:iCs w:val="0"/>
          <w:color w:val="000000"/>
          <w:sz w:val="22"/>
          <w:szCs w:val="22"/>
        </w:rPr>
        <w:t>Random Forest is an ensemble method that builds multiple decision trees on bootstrapped subsets of data and aggregates their predictions via majority voting. This reduces variance and improves generalisation. Parameters: n_estimators=150, max_depth=8, random_state=42.</w:t>
      </w:r>
    </w:p>
    <w:p w14:paraId="2DC735DA">
      <w:pPr>
        <w:pStyle w:val="4"/>
        <w:spacing w:before="200" w:after="60"/>
      </w:pPr>
      <w:r>
        <w:rPr>
          <w:rFonts w:ascii="Arial" w:hAnsi="Arial" w:eastAsia="Arial" w:cs="Arial"/>
          <w:b/>
          <w:bCs/>
          <w:color w:val="000000"/>
          <w:sz w:val="22"/>
          <w:szCs w:val="22"/>
        </w:rPr>
        <w:t>7.1.4  XGBoost Classifier</w:t>
      </w:r>
    </w:p>
    <w:p w14:paraId="6214CFD2">
      <w:pPr>
        <w:spacing w:before="80" w:after="100" w:line="300" w:lineRule="auto"/>
        <w:jc w:val="both"/>
      </w:pPr>
      <w:r>
        <w:rPr>
          <w:rFonts w:ascii="Arial" w:hAnsi="Arial" w:eastAsia="Arial" w:cs="Arial"/>
          <w:b w:val="0"/>
          <w:bCs w:val="0"/>
          <w:i w:val="0"/>
          <w:iCs w:val="0"/>
          <w:color w:val="000000"/>
          <w:sz w:val="22"/>
          <w:szCs w:val="22"/>
        </w:rPr>
        <w:t>XGBoost (Extreme Gradient Boosting) is a gradient boosting algorithm that builds trees sequentially, with each tree correcting the errors of the previous one. It is one of the most powerful algorithms for tabular classification tasks. Parameters: n_estimators=150, max_depth=5, learning_rate=0.1.</w:t>
      </w:r>
    </w:p>
    <w:p w14:paraId="6F526B81">
      <w:pPr>
        <w:pStyle w:val="3"/>
        <w:spacing w:before="240" w:after="80"/>
      </w:pPr>
      <w:r>
        <w:rPr>
          <w:rFonts w:ascii="Arial" w:hAnsi="Arial" w:eastAsia="Arial" w:cs="Arial"/>
          <w:b/>
          <w:bCs/>
          <w:color w:val="000000"/>
          <w:sz w:val="26"/>
          <w:szCs w:val="26"/>
        </w:rPr>
        <w:t>7.2  Model Performance Results</w:t>
      </w:r>
    </w:p>
    <w:p w14:paraId="4D11EEEB">
      <w:pPr>
        <w:spacing w:before="80" w:after="100" w:line="300" w:lineRule="auto"/>
        <w:jc w:val="both"/>
      </w:pPr>
      <w:r>
        <w:rPr>
          <w:rFonts w:ascii="Arial" w:hAnsi="Arial" w:eastAsia="Arial" w:cs="Arial"/>
          <w:b w:val="0"/>
          <w:bCs w:val="0"/>
          <w:i w:val="0"/>
          <w:iCs w:val="0"/>
          <w:color w:val="000000"/>
          <w:sz w:val="22"/>
          <w:szCs w:val="22"/>
        </w:rPr>
        <w:t>All four models were evaluated on the 200-sample held-out test set. The results are presented in the table below:</w:t>
      </w:r>
    </w:p>
    <w:p w14:paraId="43F2C47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400"/>
        <w:gridCol w:w="1200"/>
        <w:gridCol w:w="1400"/>
        <w:gridCol w:w="1960"/>
      </w:tblGrid>
      <w:tr w14:paraId="6474C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6EEE39D8">
            <w:pPr>
              <w:jc w:val="center"/>
            </w:pPr>
            <w:r>
              <w:rPr>
                <w:rFonts w:ascii="Arial" w:hAnsi="Arial" w:eastAsia="Arial" w:cs="Arial"/>
                <w:b/>
                <w:bCs/>
                <w:color w:val="FFFFFF"/>
                <w:sz w:val="20"/>
                <w:szCs w:val="20"/>
              </w:rPr>
              <w:t>Model</w:t>
            </w:r>
          </w:p>
        </w:tc>
        <w:tc>
          <w:tcPr>
            <w:tcW w:w="14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3F02468A">
            <w:pPr>
              <w:jc w:val="center"/>
            </w:pPr>
            <w:r>
              <w:rPr>
                <w:rFonts w:ascii="Arial" w:hAnsi="Arial" w:eastAsia="Arial" w:cs="Arial"/>
                <w:b/>
                <w:bCs/>
                <w:color w:val="FFFFFF"/>
                <w:sz w:val="20"/>
                <w:szCs w:val="20"/>
              </w:rPr>
              <w:t>Accuracy</w:t>
            </w:r>
          </w:p>
        </w:tc>
        <w:tc>
          <w:tcPr>
            <w:tcW w:w="14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450EA212">
            <w:pPr>
              <w:jc w:val="center"/>
            </w:pPr>
            <w:r>
              <w:rPr>
                <w:rFonts w:ascii="Arial" w:hAnsi="Arial" w:eastAsia="Arial" w:cs="Arial"/>
                <w:b/>
                <w:bCs/>
                <w:color w:val="FFFFFF"/>
                <w:sz w:val="20"/>
                <w:szCs w:val="20"/>
              </w:rPr>
              <w:t>Precision</w:t>
            </w:r>
          </w:p>
        </w:tc>
        <w:tc>
          <w:tcPr>
            <w:tcW w:w="12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54C728B3">
            <w:pPr>
              <w:jc w:val="center"/>
            </w:pPr>
            <w:r>
              <w:rPr>
                <w:rFonts w:ascii="Arial" w:hAnsi="Arial" w:eastAsia="Arial" w:cs="Arial"/>
                <w:b/>
                <w:bCs/>
                <w:color w:val="FFFFFF"/>
                <w:sz w:val="20"/>
                <w:szCs w:val="20"/>
              </w:rPr>
              <w:t>Recall</w:t>
            </w:r>
          </w:p>
        </w:tc>
        <w:tc>
          <w:tcPr>
            <w:tcW w:w="14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3E2D081F">
            <w:pPr>
              <w:jc w:val="center"/>
            </w:pPr>
            <w:r>
              <w:rPr>
                <w:rFonts w:ascii="Arial" w:hAnsi="Arial" w:eastAsia="Arial" w:cs="Arial"/>
                <w:b/>
                <w:bCs/>
                <w:color w:val="FFFFFF"/>
                <w:sz w:val="20"/>
                <w:szCs w:val="20"/>
              </w:rPr>
              <w:t>F1 Score</w:t>
            </w:r>
          </w:p>
        </w:tc>
        <w:tc>
          <w:tcPr>
            <w:tcW w:w="196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4D2CA87A">
            <w:pPr>
              <w:jc w:val="center"/>
            </w:pPr>
            <w:r>
              <w:rPr>
                <w:rFonts w:ascii="Arial" w:hAnsi="Arial" w:eastAsia="Arial" w:cs="Arial"/>
                <w:b/>
                <w:bCs/>
                <w:color w:val="FFFFFF"/>
                <w:sz w:val="20"/>
                <w:szCs w:val="20"/>
              </w:rPr>
              <w:t>ROC-AUC</w:t>
            </w:r>
          </w:p>
        </w:tc>
      </w:tr>
      <w:tr w14:paraId="3AFF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0836BD5">
            <w:pPr>
              <w:jc w:val="left"/>
            </w:pPr>
            <w:r>
              <w:rPr>
                <w:rFonts w:ascii="Arial" w:hAnsi="Arial" w:eastAsia="Arial" w:cs="Arial"/>
                <w:b w:val="0"/>
                <w:bCs w:val="0"/>
                <w:color w:val="000000"/>
                <w:sz w:val="20"/>
                <w:szCs w:val="20"/>
              </w:rPr>
              <w:t>Logistic Regression</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0AA455C">
            <w:pPr>
              <w:jc w:val="center"/>
            </w:pPr>
            <w:r>
              <w:rPr>
                <w:rFonts w:ascii="Arial" w:hAnsi="Arial" w:eastAsia="Arial" w:cs="Arial"/>
                <w:b w:val="0"/>
                <w:bCs w:val="0"/>
                <w:color w:val="000000"/>
                <w:sz w:val="20"/>
                <w:szCs w:val="20"/>
              </w:rPr>
              <w:t>93.00%</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C08872F">
            <w:pPr>
              <w:jc w:val="center"/>
            </w:pPr>
            <w:r>
              <w:rPr>
                <w:rFonts w:ascii="Arial" w:hAnsi="Arial" w:eastAsia="Arial" w:cs="Arial"/>
                <w:b w:val="0"/>
                <w:bCs w:val="0"/>
                <w:color w:val="000000"/>
                <w:sz w:val="20"/>
                <w:szCs w:val="20"/>
              </w:rPr>
              <w:t>92.11%</w:t>
            </w:r>
          </w:p>
        </w:tc>
        <w:tc>
          <w:tcPr>
            <w:tcW w:w="1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A1A60D7">
            <w:pPr>
              <w:jc w:val="center"/>
            </w:pPr>
            <w:r>
              <w:rPr>
                <w:rFonts w:ascii="Arial" w:hAnsi="Arial" w:eastAsia="Arial" w:cs="Arial"/>
                <w:b w:val="0"/>
                <w:bCs w:val="0"/>
                <w:color w:val="000000"/>
                <w:sz w:val="20"/>
                <w:szCs w:val="20"/>
              </w:rPr>
              <w:t>89.74%</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B8B2C9B">
            <w:pPr>
              <w:jc w:val="center"/>
            </w:pPr>
            <w:r>
              <w:rPr>
                <w:rFonts w:ascii="Arial" w:hAnsi="Arial" w:eastAsia="Arial" w:cs="Arial"/>
                <w:b w:val="0"/>
                <w:bCs w:val="0"/>
                <w:color w:val="000000"/>
                <w:sz w:val="20"/>
                <w:szCs w:val="20"/>
              </w:rPr>
              <w:t>90.91%</w:t>
            </w:r>
          </w:p>
        </w:tc>
        <w:tc>
          <w:tcPr>
            <w:tcW w:w="1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FADF649">
            <w:pPr>
              <w:jc w:val="center"/>
            </w:pPr>
            <w:r>
              <w:rPr>
                <w:rFonts w:ascii="Arial" w:hAnsi="Arial" w:eastAsia="Arial" w:cs="Arial"/>
                <w:b w:val="0"/>
                <w:bCs w:val="0"/>
                <w:color w:val="000000"/>
                <w:sz w:val="20"/>
                <w:szCs w:val="20"/>
              </w:rPr>
              <w:t>0.9791</w:t>
            </w:r>
          </w:p>
        </w:tc>
      </w:tr>
      <w:tr w14:paraId="5F64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BD1244D">
            <w:pPr>
              <w:jc w:val="left"/>
            </w:pPr>
            <w:r>
              <w:rPr>
                <w:rFonts w:ascii="Arial" w:hAnsi="Arial" w:eastAsia="Arial" w:cs="Arial"/>
                <w:b w:val="0"/>
                <w:bCs w:val="0"/>
                <w:color w:val="000000"/>
                <w:sz w:val="20"/>
                <w:szCs w:val="20"/>
              </w:rPr>
              <w:t>Decision Tree</w:t>
            </w:r>
          </w:p>
        </w:tc>
        <w:tc>
          <w:tcPr>
            <w:tcW w:w="1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58EDA2C">
            <w:pPr>
              <w:jc w:val="center"/>
            </w:pPr>
            <w:r>
              <w:rPr>
                <w:rFonts w:ascii="Arial" w:hAnsi="Arial" w:eastAsia="Arial" w:cs="Arial"/>
                <w:b w:val="0"/>
                <w:bCs w:val="0"/>
                <w:color w:val="000000"/>
                <w:sz w:val="20"/>
                <w:szCs w:val="20"/>
              </w:rPr>
              <w:t>99.00%</w:t>
            </w:r>
          </w:p>
        </w:tc>
        <w:tc>
          <w:tcPr>
            <w:tcW w:w="1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4BBB003A">
            <w:pPr>
              <w:jc w:val="center"/>
            </w:pPr>
            <w:r>
              <w:rPr>
                <w:rFonts w:ascii="Arial" w:hAnsi="Arial" w:eastAsia="Arial" w:cs="Arial"/>
                <w:b w:val="0"/>
                <w:bCs w:val="0"/>
                <w:color w:val="000000"/>
                <w:sz w:val="20"/>
                <w:szCs w:val="20"/>
              </w:rPr>
              <w:t>98.72%</w:t>
            </w:r>
          </w:p>
        </w:tc>
        <w:tc>
          <w:tcPr>
            <w:tcW w:w="12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F36966E">
            <w:pPr>
              <w:jc w:val="center"/>
            </w:pPr>
            <w:r>
              <w:rPr>
                <w:rFonts w:ascii="Arial" w:hAnsi="Arial" w:eastAsia="Arial" w:cs="Arial"/>
                <w:b w:val="0"/>
                <w:bCs w:val="0"/>
                <w:color w:val="000000"/>
                <w:sz w:val="20"/>
                <w:szCs w:val="20"/>
              </w:rPr>
              <w:t>98.72%</w:t>
            </w:r>
          </w:p>
        </w:tc>
        <w:tc>
          <w:tcPr>
            <w:tcW w:w="14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8AB2900">
            <w:pPr>
              <w:jc w:val="center"/>
            </w:pPr>
            <w:r>
              <w:rPr>
                <w:rFonts w:ascii="Arial" w:hAnsi="Arial" w:eastAsia="Arial" w:cs="Arial"/>
                <w:b w:val="0"/>
                <w:bCs w:val="0"/>
                <w:color w:val="000000"/>
                <w:sz w:val="20"/>
                <w:szCs w:val="20"/>
              </w:rPr>
              <w:t>98.72%</w:t>
            </w:r>
          </w:p>
        </w:tc>
        <w:tc>
          <w:tcPr>
            <w:tcW w:w="19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30F7723">
            <w:pPr>
              <w:jc w:val="center"/>
            </w:pPr>
            <w:r>
              <w:rPr>
                <w:rFonts w:ascii="Arial" w:hAnsi="Arial" w:eastAsia="Arial" w:cs="Arial"/>
                <w:b w:val="0"/>
                <w:bCs w:val="0"/>
                <w:color w:val="000000"/>
                <w:sz w:val="20"/>
                <w:szCs w:val="20"/>
              </w:rPr>
              <w:t>0.9895</w:t>
            </w:r>
          </w:p>
        </w:tc>
      </w:tr>
      <w:tr w14:paraId="48AE8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46C2C1A">
            <w:pPr>
              <w:jc w:val="left"/>
            </w:pPr>
            <w:r>
              <w:rPr>
                <w:rFonts w:ascii="Arial" w:hAnsi="Arial" w:eastAsia="Arial" w:cs="Arial"/>
                <w:b w:val="0"/>
                <w:bCs w:val="0"/>
                <w:color w:val="000000"/>
                <w:sz w:val="20"/>
                <w:szCs w:val="20"/>
              </w:rPr>
              <w:t>Random Forest</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ACA9165">
            <w:pPr>
              <w:jc w:val="center"/>
            </w:pPr>
            <w:r>
              <w:rPr>
                <w:rFonts w:ascii="Arial" w:hAnsi="Arial" w:eastAsia="Arial" w:cs="Arial"/>
                <w:b w:val="0"/>
                <w:bCs w:val="0"/>
                <w:color w:val="000000"/>
                <w:sz w:val="20"/>
                <w:szCs w:val="20"/>
              </w:rPr>
              <w:t>99.50%</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91F44B8">
            <w:pPr>
              <w:jc w:val="center"/>
            </w:pPr>
            <w:r>
              <w:rPr>
                <w:rFonts w:ascii="Arial" w:hAnsi="Arial" w:eastAsia="Arial" w:cs="Arial"/>
                <w:b w:val="0"/>
                <w:bCs w:val="0"/>
                <w:color w:val="000000"/>
                <w:sz w:val="20"/>
                <w:szCs w:val="20"/>
              </w:rPr>
              <w:t>100.00%</w:t>
            </w:r>
          </w:p>
        </w:tc>
        <w:tc>
          <w:tcPr>
            <w:tcW w:w="12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78316DC">
            <w:pPr>
              <w:jc w:val="center"/>
            </w:pPr>
            <w:r>
              <w:rPr>
                <w:rFonts w:ascii="Arial" w:hAnsi="Arial" w:eastAsia="Arial" w:cs="Arial"/>
                <w:b w:val="0"/>
                <w:bCs w:val="0"/>
                <w:color w:val="000000"/>
                <w:sz w:val="20"/>
                <w:szCs w:val="20"/>
              </w:rPr>
              <w:t>98.72%</w:t>
            </w:r>
          </w:p>
        </w:tc>
        <w:tc>
          <w:tcPr>
            <w:tcW w:w="14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712B0FA9">
            <w:pPr>
              <w:jc w:val="center"/>
            </w:pPr>
            <w:r>
              <w:rPr>
                <w:rFonts w:ascii="Arial" w:hAnsi="Arial" w:eastAsia="Arial" w:cs="Arial"/>
                <w:b w:val="0"/>
                <w:bCs w:val="0"/>
                <w:color w:val="000000"/>
                <w:sz w:val="20"/>
                <w:szCs w:val="20"/>
              </w:rPr>
              <w:t>99.35%</w:t>
            </w:r>
          </w:p>
        </w:tc>
        <w:tc>
          <w:tcPr>
            <w:tcW w:w="19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ACCC6B7">
            <w:pPr>
              <w:jc w:val="center"/>
            </w:pPr>
            <w:r>
              <w:rPr>
                <w:rFonts w:ascii="Arial" w:hAnsi="Arial" w:eastAsia="Arial" w:cs="Arial"/>
                <w:b w:val="0"/>
                <w:bCs w:val="0"/>
                <w:color w:val="000000"/>
                <w:sz w:val="20"/>
                <w:szCs w:val="20"/>
              </w:rPr>
              <w:t>0.9999</w:t>
            </w:r>
          </w:p>
        </w:tc>
      </w:tr>
      <w:tr w14:paraId="5357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vAlign w:val="center"/>
          </w:tcPr>
          <w:p w14:paraId="498DD9A7">
            <w:pPr>
              <w:jc w:val="left"/>
            </w:pPr>
            <w:r>
              <w:rPr>
                <w:rFonts w:ascii="Arial" w:hAnsi="Arial" w:eastAsia="Arial" w:cs="Arial"/>
                <w:b/>
                <w:bCs/>
                <w:color w:val="FFFFFF"/>
                <w:sz w:val="20"/>
                <w:szCs w:val="20"/>
              </w:rPr>
              <w:t>XGBoost ★</w:t>
            </w:r>
          </w:p>
        </w:tc>
        <w:tc>
          <w:tcPr>
            <w:tcW w:w="14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vAlign w:val="center"/>
          </w:tcPr>
          <w:p w14:paraId="001929A9">
            <w:pPr>
              <w:jc w:val="center"/>
            </w:pPr>
            <w:r>
              <w:rPr>
                <w:rFonts w:ascii="Arial" w:hAnsi="Arial" w:eastAsia="Arial" w:cs="Arial"/>
                <w:b/>
                <w:bCs/>
                <w:color w:val="FFFFFF"/>
                <w:sz w:val="20"/>
                <w:szCs w:val="20"/>
              </w:rPr>
              <w:t>100.00%</w:t>
            </w:r>
          </w:p>
        </w:tc>
        <w:tc>
          <w:tcPr>
            <w:tcW w:w="14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vAlign w:val="center"/>
          </w:tcPr>
          <w:p w14:paraId="66FEFF3E">
            <w:pPr>
              <w:jc w:val="center"/>
            </w:pPr>
            <w:r>
              <w:rPr>
                <w:rFonts w:ascii="Arial" w:hAnsi="Arial" w:eastAsia="Arial" w:cs="Arial"/>
                <w:b/>
                <w:bCs/>
                <w:color w:val="FFFFFF"/>
                <w:sz w:val="20"/>
                <w:szCs w:val="20"/>
              </w:rPr>
              <w:t>100.00%</w:t>
            </w:r>
          </w:p>
        </w:tc>
        <w:tc>
          <w:tcPr>
            <w:tcW w:w="12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vAlign w:val="center"/>
          </w:tcPr>
          <w:p w14:paraId="5C9A8E7B">
            <w:pPr>
              <w:jc w:val="center"/>
            </w:pPr>
            <w:r>
              <w:rPr>
                <w:rFonts w:ascii="Arial" w:hAnsi="Arial" w:eastAsia="Arial" w:cs="Arial"/>
                <w:b/>
                <w:bCs/>
                <w:color w:val="FFFFFF"/>
                <w:sz w:val="20"/>
                <w:szCs w:val="20"/>
              </w:rPr>
              <w:t>100.00%</w:t>
            </w:r>
          </w:p>
        </w:tc>
        <w:tc>
          <w:tcPr>
            <w:tcW w:w="140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vAlign w:val="center"/>
          </w:tcPr>
          <w:p w14:paraId="4A7C4922">
            <w:pPr>
              <w:jc w:val="center"/>
            </w:pPr>
            <w:r>
              <w:rPr>
                <w:rFonts w:ascii="Arial" w:hAnsi="Arial" w:eastAsia="Arial" w:cs="Arial"/>
                <w:b/>
                <w:bCs/>
                <w:color w:val="FFFFFF"/>
                <w:sz w:val="20"/>
                <w:szCs w:val="20"/>
              </w:rPr>
              <w:t>100.00%</w:t>
            </w:r>
          </w:p>
        </w:tc>
        <w:tc>
          <w:tcPr>
            <w:tcW w:w="1960" w:type="dxa"/>
            <w:tcBorders>
              <w:top w:val="single" w:color="000000" w:sz="4" w:space="0"/>
              <w:left w:val="single" w:color="000000" w:sz="4" w:space="0"/>
              <w:bottom w:val="single" w:color="000000" w:sz="4" w:space="0"/>
              <w:right w:val="single" w:color="000000" w:sz="4" w:space="0"/>
            </w:tcBorders>
            <w:shd w:val="clear" w:color="auto" w:fill="1A1A1A"/>
            <w:tcMar>
              <w:top w:w="80" w:type="dxa"/>
              <w:left w:w="120" w:type="dxa"/>
              <w:bottom w:w="80" w:type="dxa"/>
              <w:right w:w="120" w:type="dxa"/>
            </w:tcMar>
            <w:vAlign w:val="center"/>
          </w:tcPr>
          <w:p w14:paraId="7946BE20">
            <w:pPr>
              <w:jc w:val="center"/>
            </w:pPr>
            <w:r>
              <w:rPr>
                <w:rFonts w:ascii="Arial" w:hAnsi="Arial" w:eastAsia="Arial" w:cs="Arial"/>
                <w:b/>
                <w:bCs/>
                <w:color w:val="FFFFFF"/>
                <w:sz w:val="20"/>
                <w:szCs w:val="20"/>
              </w:rPr>
              <w:t>1.0000</w:t>
            </w:r>
          </w:p>
        </w:tc>
      </w:tr>
    </w:tbl>
    <w:p w14:paraId="23FFE601">
      <w:pPr>
        <w:spacing w:before="120" w:after="0"/>
      </w:pPr>
    </w:p>
    <w:p w14:paraId="237A0564">
      <w:pPr>
        <w:spacing w:before="80" w:after="100" w:line="300" w:lineRule="auto"/>
        <w:jc w:val="both"/>
      </w:pPr>
      <w:r>
        <w:rPr>
          <w:rFonts w:ascii="Arial" w:hAnsi="Arial" w:eastAsia="Arial" w:cs="Arial"/>
          <w:b w:val="0"/>
          <w:bCs w:val="0"/>
          <w:i w:val="0"/>
          <w:iCs w:val="0"/>
          <w:color w:val="000000"/>
          <w:sz w:val="22"/>
          <w:szCs w:val="22"/>
        </w:rPr>
        <w:t>★  XGBoost achieved perfect scores on the test set, demonstrating its exceptional ability to capture the churn patterns present in this dataset. XGBoost was therefore selected as the final deployment model.</w:t>
      </w:r>
    </w:p>
    <w:p w14:paraId="7DF0AD1E">
      <w:pPr>
        <w:pStyle w:val="3"/>
        <w:spacing w:before="240" w:after="80"/>
      </w:pPr>
      <w:r>
        <w:rPr>
          <w:rFonts w:ascii="Arial" w:hAnsi="Arial" w:eastAsia="Arial" w:cs="Arial"/>
          <w:b/>
          <w:bCs/>
          <w:color w:val="000000"/>
          <w:sz w:val="26"/>
          <w:szCs w:val="26"/>
        </w:rPr>
        <w:t>7.3  Confusion Matrices</w:t>
      </w:r>
    </w:p>
    <w:p w14:paraId="6416DD58">
      <w:pPr>
        <w:spacing w:before="80" w:after="100" w:line="300" w:lineRule="auto"/>
        <w:jc w:val="both"/>
      </w:pPr>
      <w:r>
        <w:rPr>
          <w:rFonts w:ascii="Arial" w:hAnsi="Arial" w:eastAsia="Arial" w:cs="Arial"/>
          <w:b w:val="0"/>
          <w:bCs w:val="0"/>
          <w:i w:val="0"/>
          <w:iCs w:val="0"/>
          <w:color w:val="000000"/>
          <w:sz w:val="22"/>
          <w:szCs w:val="22"/>
        </w:rPr>
        <w:t>Confusion matrices show the breakdown of true positives, true negatives, false positives, and false negatives for each model on the test set:</w:t>
      </w:r>
    </w:p>
    <w:p w14:paraId="1E8F4E61">
      <w:pPr>
        <w:spacing w:before="80" w:after="160"/>
        <w:jc w:val="center"/>
      </w:pPr>
      <w:r>
        <w:rPr>
          <w:rFonts w:ascii="Arial" w:hAnsi="Arial" w:eastAsia="Arial" w:cs="Arial"/>
          <w:i/>
          <w:iCs/>
          <w:color w:val="000000"/>
          <w:sz w:val="20"/>
          <w:szCs w:val="20"/>
        </w:rPr>
        <w:t>Figure 6: Confusion Matrices for All Four Models</w:t>
      </w:r>
    </w:p>
    <w:p w14:paraId="0B272663">
      <w:pPr>
        <w:pStyle w:val="3"/>
        <w:spacing w:before="240" w:after="80"/>
      </w:pPr>
      <w:r>
        <w:rPr>
          <w:rFonts w:ascii="Arial" w:hAnsi="Arial" w:eastAsia="Arial" w:cs="Arial"/>
          <w:b/>
          <w:bCs/>
          <w:color w:val="000000"/>
          <w:sz w:val="26"/>
          <w:szCs w:val="26"/>
        </w:rPr>
        <w:t>7.4  ROC Curves</w:t>
      </w:r>
    </w:p>
    <w:p w14:paraId="23BC985C">
      <w:pPr>
        <w:spacing w:before="80" w:after="100" w:line="300" w:lineRule="auto"/>
        <w:jc w:val="both"/>
      </w:pPr>
      <w:r>
        <w:rPr>
          <w:rFonts w:ascii="Arial" w:hAnsi="Arial" w:eastAsia="Arial" w:cs="Arial"/>
          <w:b w:val="0"/>
          <w:bCs w:val="0"/>
          <w:i w:val="0"/>
          <w:iCs w:val="0"/>
          <w:color w:val="000000"/>
          <w:sz w:val="22"/>
          <w:szCs w:val="22"/>
        </w:rPr>
        <w:t>ROC (Receiver Operating Characteristic) curves plot the True Positive Rate against the False Positive Rate across all classification thresholds. The Area Under the Curve (AUC) measures overall model discrimination ability. An AUC of 1.0 indicates perfect classification.</w:t>
      </w:r>
    </w:p>
    <w:p w14:paraId="27ABC5CF">
      <w:pPr>
        <w:spacing w:before="80" w:after="160"/>
        <w:jc w:val="center"/>
      </w:pPr>
      <w:r>
        <w:rPr>
          <w:rFonts w:ascii="Arial" w:hAnsi="Arial" w:eastAsia="Arial" w:cs="Arial"/>
          <w:i/>
          <w:iCs/>
          <w:color w:val="000000"/>
          <w:sz w:val="20"/>
          <w:szCs w:val="20"/>
        </w:rPr>
        <w:t>Figure 7: ROC Curves with AUC Scores — All Models</w:t>
      </w:r>
    </w:p>
    <w:p w14:paraId="09D2EA25">
      <w:pPr>
        <w:pStyle w:val="3"/>
        <w:spacing w:before="240" w:after="80"/>
      </w:pPr>
      <w:r>
        <w:rPr>
          <w:rFonts w:ascii="Arial" w:hAnsi="Arial" w:eastAsia="Arial" w:cs="Arial"/>
          <w:b/>
          <w:bCs/>
          <w:color w:val="000000"/>
          <w:sz w:val="26"/>
          <w:szCs w:val="26"/>
        </w:rPr>
        <w:t>7.5  Model Comparison</w:t>
      </w:r>
    </w:p>
    <w:p w14:paraId="1DA21B8A">
      <w:pPr>
        <w:spacing w:before="80" w:after="100" w:line="300" w:lineRule="auto"/>
        <w:jc w:val="both"/>
      </w:pPr>
      <w:r>
        <w:rPr>
          <w:rFonts w:ascii="Arial" w:hAnsi="Arial" w:eastAsia="Arial" w:cs="Arial"/>
          <w:b w:val="0"/>
          <w:bCs w:val="0"/>
          <w:i w:val="0"/>
          <w:iCs w:val="0"/>
          <w:color w:val="000000"/>
          <w:sz w:val="22"/>
          <w:szCs w:val="22"/>
        </w:rPr>
        <w:t>The following chart compares all four models across all five evaluation metrics, providing a comprehensive visual comparison:</w:t>
      </w:r>
    </w:p>
    <w:p w14:paraId="00F0583F">
      <w:pPr>
        <w:spacing w:before="80" w:after="160"/>
        <w:jc w:val="center"/>
      </w:pPr>
      <w:r>
        <w:rPr>
          <w:rFonts w:ascii="Arial" w:hAnsi="Arial" w:eastAsia="Arial" w:cs="Arial"/>
          <w:i/>
          <w:iCs/>
          <w:color w:val="000000"/>
          <w:sz w:val="20"/>
          <w:szCs w:val="20"/>
        </w:rPr>
        <w:t>Figure 8: Model Performance Comparison Across All Metrics</w:t>
      </w:r>
    </w:p>
    <w:p w14:paraId="553B777F">
      <w:pPr>
        <w:pStyle w:val="3"/>
        <w:spacing w:before="240" w:after="80"/>
      </w:pPr>
      <w:r>
        <w:rPr>
          <w:rFonts w:ascii="Arial" w:hAnsi="Arial" w:eastAsia="Arial" w:cs="Arial"/>
          <w:b/>
          <w:bCs/>
          <w:color w:val="000000"/>
          <w:sz w:val="26"/>
          <w:szCs w:val="26"/>
        </w:rPr>
        <w:t>7.6  Feature Importance</w:t>
      </w:r>
    </w:p>
    <w:p w14:paraId="743061A8">
      <w:pPr>
        <w:spacing w:before="80" w:after="100" w:line="300" w:lineRule="auto"/>
        <w:jc w:val="both"/>
      </w:pPr>
      <w:r>
        <w:rPr>
          <w:rFonts w:ascii="Arial" w:hAnsi="Arial" w:eastAsia="Arial" w:cs="Arial"/>
          <w:b w:val="0"/>
          <w:bCs w:val="0"/>
          <w:i w:val="0"/>
          <w:iCs w:val="0"/>
          <w:color w:val="000000"/>
          <w:sz w:val="22"/>
          <w:szCs w:val="22"/>
        </w:rPr>
        <w:t>Random Forest feature importance analysis reveals the relative contribution of each feature to churn prediction. The engineered features ChargesPerMonth and SupportCallRate proved highly informative, validating the feature engineering step. ContractType and Tenure are the most important original features.</w:t>
      </w:r>
    </w:p>
    <w:p w14:paraId="005C4109">
      <w:pPr>
        <w:spacing w:before="80" w:after="160"/>
        <w:jc w:val="center"/>
      </w:pPr>
      <w:r>
        <w:rPr>
          <w:rFonts w:ascii="Arial" w:hAnsi="Arial" w:eastAsia="Arial" w:cs="Arial"/>
          <w:i/>
          <w:iCs/>
          <w:color w:val="000000"/>
          <w:sz w:val="20"/>
          <w:szCs w:val="20"/>
        </w:rPr>
        <w:t>Figure 9: Feature Importance — Random Forest Classifier</w:t>
      </w:r>
    </w:p>
    <w:p w14:paraId="147D0A29">
      <w:pPr>
        <w:pStyle w:val="2"/>
        <w:pBdr>
          <w:bottom w:val="single" w:color="000000" w:sz="6" w:space="1"/>
        </w:pBdr>
        <w:spacing w:before="360" w:after="120"/>
      </w:pPr>
      <w:r>
        <w:rPr>
          <w:rFonts w:ascii="Arial" w:hAnsi="Arial" w:eastAsia="Arial" w:cs="Arial"/>
          <w:b/>
          <w:bCs/>
          <w:color w:val="000000"/>
          <w:sz w:val="32"/>
          <w:szCs w:val="32"/>
        </w:rPr>
        <w:t>8.  Prediction &amp; Results</w:t>
      </w:r>
    </w:p>
    <w:p w14:paraId="26BB79A5">
      <w:pPr>
        <w:spacing w:before="80" w:after="100" w:line="300" w:lineRule="auto"/>
        <w:jc w:val="both"/>
      </w:pPr>
      <w:r>
        <w:rPr>
          <w:rFonts w:ascii="Arial" w:hAnsi="Arial" w:eastAsia="Arial" w:cs="Arial"/>
          <w:b w:val="0"/>
          <w:bCs w:val="0"/>
          <w:i w:val="0"/>
          <w:iCs w:val="0"/>
          <w:color w:val="000000"/>
          <w:sz w:val="22"/>
          <w:szCs w:val="22"/>
        </w:rPr>
        <w:t>The XGBoost model — achieving perfect accuracy and a ROC-AUC of 1.0 on the test set — was selected as the final deployment model. All 200 test customers received a churn prediction label, a churn probability score (0–1), and a risk tier classification.</w:t>
      </w:r>
    </w:p>
    <w:p w14:paraId="46F76B97">
      <w:pPr>
        <w:pStyle w:val="3"/>
        <w:spacing w:before="240" w:after="80"/>
      </w:pPr>
      <w:r>
        <w:rPr>
          <w:rFonts w:ascii="Arial" w:hAnsi="Arial" w:eastAsia="Arial" w:cs="Arial"/>
          <w:b/>
          <w:bCs/>
          <w:color w:val="000000"/>
          <w:sz w:val="26"/>
          <w:szCs w:val="26"/>
        </w:rPr>
        <w:t>8.1  Customer Risk Classification</w:t>
      </w:r>
    </w:p>
    <w:p w14:paraId="2B112BD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3860"/>
        <w:gridCol w:w="1700"/>
      </w:tblGrid>
      <w:tr w14:paraId="6A59E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6767DF9A">
            <w:pPr>
              <w:jc w:val="center"/>
            </w:pPr>
            <w:r>
              <w:rPr>
                <w:rFonts w:ascii="Arial" w:hAnsi="Arial" w:eastAsia="Arial" w:cs="Arial"/>
                <w:b/>
                <w:bCs/>
                <w:color w:val="FFFFFF"/>
                <w:sz w:val="20"/>
                <w:szCs w:val="20"/>
              </w:rPr>
              <w:t>Risk Level</w:t>
            </w:r>
          </w:p>
        </w:tc>
        <w:tc>
          <w:tcPr>
            <w:tcW w:w="20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421CBC89">
            <w:pPr>
              <w:jc w:val="center"/>
            </w:pPr>
            <w:r>
              <w:rPr>
                <w:rFonts w:ascii="Arial" w:hAnsi="Arial" w:eastAsia="Arial" w:cs="Arial"/>
                <w:b/>
                <w:bCs/>
                <w:color w:val="FFFFFF"/>
                <w:sz w:val="20"/>
                <w:szCs w:val="20"/>
              </w:rPr>
              <w:t>Probability Range</w:t>
            </w:r>
          </w:p>
        </w:tc>
        <w:tc>
          <w:tcPr>
            <w:tcW w:w="386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2B63A8B2">
            <w:pPr>
              <w:jc w:val="center"/>
            </w:pPr>
            <w:r>
              <w:rPr>
                <w:rFonts w:ascii="Arial" w:hAnsi="Arial" w:eastAsia="Arial" w:cs="Arial"/>
                <w:b/>
                <w:bCs/>
                <w:color w:val="FFFFFF"/>
                <w:sz w:val="20"/>
                <w:szCs w:val="20"/>
              </w:rPr>
              <w:t>Recommended Action</w:t>
            </w:r>
          </w:p>
        </w:tc>
        <w:tc>
          <w:tcPr>
            <w:tcW w:w="17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1E25E156">
            <w:pPr>
              <w:jc w:val="center"/>
            </w:pPr>
            <w:r>
              <w:rPr>
                <w:rFonts w:ascii="Arial" w:hAnsi="Arial" w:eastAsia="Arial" w:cs="Arial"/>
                <w:b/>
                <w:bCs/>
                <w:color w:val="FFFFFF"/>
                <w:sz w:val="20"/>
                <w:szCs w:val="20"/>
              </w:rPr>
              <w:t>Priority</w:t>
            </w:r>
          </w:p>
        </w:tc>
      </w:tr>
      <w:tr w14:paraId="4D227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A039803">
            <w:pPr>
              <w:jc w:val="left"/>
            </w:pPr>
            <w:r>
              <w:rPr>
                <w:rFonts w:ascii="Arial" w:hAnsi="Arial" w:eastAsia="Arial" w:cs="Arial"/>
                <w:b/>
                <w:bCs/>
                <w:color w:val="000000"/>
                <w:sz w:val="20"/>
                <w:szCs w:val="20"/>
              </w:rPr>
              <w:t>High Risk</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118FA18">
            <w:pPr>
              <w:jc w:val="center"/>
            </w:pPr>
            <w:r>
              <w:rPr>
                <w:rFonts w:ascii="Arial" w:hAnsi="Arial" w:eastAsia="Arial" w:cs="Arial"/>
                <w:b w:val="0"/>
                <w:bCs w:val="0"/>
                <w:color w:val="000000"/>
                <w:sz w:val="20"/>
                <w:szCs w:val="20"/>
              </w:rPr>
              <w:t>&gt; 60%</w:t>
            </w:r>
          </w:p>
        </w:tc>
        <w:tc>
          <w:tcPr>
            <w:tcW w:w="38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9E9C336">
            <w:pPr>
              <w:jc w:val="left"/>
            </w:pPr>
            <w:r>
              <w:rPr>
                <w:rFonts w:ascii="Arial" w:hAnsi="Arial" w:eastAsia="Arial" w:cs="Arial"/>
                <w:b w:val="0"/>
                <w:bCs w:val="0"/>
                <w:color w:val="000000"/>
                <w:sz w:val="20"/>
                <w:szCs w:val="20"/>
              </w:rPr>
              <w:t>Immediate outreach — discounts, upgrades</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005C1C0">
            <w:pPr>
              <w:jc w:val="center"/>
            </w:pPr>
            <w:r>
              <w:rPr>
                <w:rFonts w:ascii="Arial" w:hAnsi="Arial" w:eastAsia="Arial" w:cs="Arial"/>
                <w:b/>
                <w:bCs/>
                <w:color w:val="000000"/>
                <w:sz w:val="20"/>
                <w:szCs w:val="20"/>
              </w:rPr>
              <w:t>URGENT</w:t>
            </w:r>
          </w:p>
        </w:tc>
      </w:tr>
      <w:tr w14:paraId="21FA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E7A18B5">
            <w:pPr>
              <w:jc w:val="left"/>
            </w:pPr>
            <w:r>
              <w:rPr>
                <w:rFonts w:ascii="Arial" w:hAnsi="Arial" w:eastAsia="Arial" w:cs="Arial"/>
                <w:b/>
                <w:bCs/>
                <w:color w:val="000000"/>
                <w:sz w:val="20"/>
                <w:szCs w:val="20"/>
              </w:rPr>
              <w:t>Medium Risk</w:t>
            </w:r>
          </w:p>
        </w:tc>
        <w:tc>
          <w:tcPr>
            <w:tcW w:w="2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82293B1">
            <w:pPr>
              <w:jc w:val="center"/>
            </w:pPr>
            <w:r>
              <w:rPr>
                <w:rFonts w:ascii="Arial" w:hAnsi="Arial" w:eastAsia="Arial" w:cs="Arial"/>
                <w:b w:val="0"/>
                <w:bCs w:val="0"/>
                <w:color w:val="000000"/>
                <w:sz w:val="20"/>
                <w:szCs w:val="20"/>
              </w:rPr>
              <w:t>30% – 60%</w:t>
            </w:r>
          </w:p>
        </w:tc>
        <w:tc>
          <w:tcPr>
            <w:tcW w:w="38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A659DA5">
            <w:pPr>
              <w:jc w:val="left"/>
            </w:pPr>
            <w:r>
              <w:rPr>
                <w:rFonts w:ascii="Arial" w:hAnsi="Arial" w:eastAsia="Arial" w:cs="Arial"/>
                <w:b w:val="0"/>
                <w:bCs w:val="0"/>
                <w:color w:val="000000"/>
                <w:sz w:val="20"/>
                <w:szCs w:val="20"/>
              </w:rPr>
              <w:t>Proactive check-ins, loyalty rewards</w:t>
            </w:r>
          </w:p>
        </w:tc>
        <w:tc>
          <w:tcPr>
            <w:tcW w:w="17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B4CFB76">
            <w:pPr>
              <w:jc w:val="center"/>
            </w:pPr>
            <w:r>
              <w:rPr>
                <w:rFonts w:ascii="Arial" w:hAnsi="Arial" w:eastAsia="Arial" w:cs="Arial"/>
                <w:b/>
                <w:bCs/>
                <w:color w:val="000000"/>
                <w:sz w:val="20"/>
                <w:szCs w:val="20"/>
              </w:rPr>
              <w:t>MEDIUM</w:t>
            </w:r>
          </w:p>
        </w:tc>
      </w:tr>
      <w:tr w14:paraId="4869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CAB7AF6">
            <w:pPr>
              <w:jc w:val="left"/>
            </w:pPr>
            <w:r>
              <w:rPr>
                <w:rFonts w:ascii="Arial" w:hAnsi="Arial" w:eastAsia="Arial" w:cs="Arial"/>
                <w:b/>
                <w:bCs/>
                <w:color w:val="000000"/>
                <w:sz w:val="20"/>
                <w:szCs w:val="20"/>
              </w:rPr>
              <w:t>Low Risk</w:t>
            </w:r>
          </w:p>
        </w:tc>
        <w:tc>
          <w:tcPr>
            <w:tcW w:w="2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0B42D2A">
            <w:pPr>
              <w:jc w:val="center"/>
            </w:pPr>
            <w:r>
              <w:rPr>
                <w:rFonts w:ascii="Arial" w:hAnsi="Arial" w:eastAsia="Arial" w:cs="Arial"/>
                <w:b w:val="0"/>
                <w:bCs w:val="0"/>
                <w:color w:val="000000"/>
                <w:sz w:val="20"/>
                <w:szCs w:val="20"/>
              </w:rPr>
              <w:t>&lt; 30%</w:t>
            </w:r>
          </w:p>
        </w:tc>
        <w:tc>
          <w:tcPr>
            <w:tcW w:w="38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FF09FDB">
            <w:pPr>
              <w:jc w:val="left"/>
            </w:pPr>
            <w:r>
              <w:rPr>
                <w:rFonts w:ascii="Arial" w:hAnsi="Arial" w:eastAsia="Arial" w:cs="Arial"/>
                <w:b w:val="0"/>
                <w:bCs w:val="0"/>
                <w:color w:val="000000"/>
                <w:sz w:val="20"/>
                <w:szCs w:val="20"/>
              </w:rPr>
              <w:t>Maintain satisfaction, upsell features</w:t>
            </w:r>
          </w:p>
        </w:tc>
        <w:tc>
          <w:tcPr>
            <w:tcW w:w="17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74E4872">
            <w:pPr>
              <w:jc w:val="center"/>
            </w:pPr>
            <w:r>
              <w:rPr>
                <w:rFonts w:ascii="Arial" w:hAnsi="Arial" w:eastAsia="Arial" w:cs="Arial"/>
                <w:b/>
                <w:bCs/>
                <w:color w:val="000000"/>
                <w:sz w:val="20"/>
                <w:szCs w:val="20"/>
              </w:rPr>
              <w:t>ROUTINE</w:t>
            </w:r>
          </w:p>
        </w:tc>
      </w:tr>
    </w:tbl>
    <w:p w14:paraId="19605C30">
      <w:pPr>
        <w:spacing w:before="160" w:after="0"/>
      </w:pPr>
    </w:p>
    <w:p w14:paraId="25BDA771">
      <w:pPr>
        <w:pStyle w:val="3"/>
        <w:spacing w:before="240" w:after="80"/>
      </w:pPr>
      <w:r>
        <w:rPr>
          <w:rFonts w:ascii="Arial" w:hAnsi="Arial" w:eastAsia="Arial" w:cs="Arial"/>
          <w:b/>
          <w:bCs/>
          <w:color w:val="000000"/>
          <w:sz w:val="26"/>
          <w:szCs w:val="26"/>
        </w:rPr>
        <w:t>8.2  Risk Distribution Charts</w:t>
      </w:r>
    </w:p>
    <w:p w14:paraId="6E4F91A4">
      <w:pPr>
        <w:spacing w:before="80" w:after="160"/>
        <w:jc w:val="center"/>
      </w:pPr>
      <w:r>
        <w:rPr>
          <w:rFonts w:ascii="Arial" w:hAnsi="Arial" w:eastAsia="Arial" w:cs="Arial"/>
          <w:i/>
          <w:iCs/>
          <w:color w:val="000000"/>
          <w:sz w:val="20"/>
          <w:szCs w:val="20"/>
        </w:rPr>
        <w:t>Figure 10: Customer Risk Level Distribution — Pie Chart and Bar Chart</w:t>
      </w:r>
    </w:p>
    <w:p w14:paraId="4D332FEA">
      <w:pPr>
        <w:pStyle w:val="3"/>
        <w:spacing w:before="240" w:after="80"/>
      </w:pPr>
      <w:r>
        <w:rPr>
          <w:rFonts w:ascii="Arial" w:hAnsi="Arial" w:eastAsia="Arial" w:cs="Arial"/>
          <w:b/>
          <w:bCs/>
          <w:color w:val="000000"/>
          <w:sz w:val="26"/>
          <w:szCs w:val="26"/>
        </w:rPr>
        <w:t>8.3  Probability Distribution</w:t>
      </w:r>
    </w:p>
    <w:p w14:paraId="0EF70F38">
      <w:pPr>
        <w:spacing w:before="80" w:after="100" w:line="300" w:lineRule="auto"/>
        <w:jc w:val="both"/>
      </w:pPr>
      <w:r>
        <w:rPr>
          <w:rFonts w:ascii="Arial" w:hAnsi="Arial" w:eastAsia="Arial" w:cs="Arial"/>
          <w:b w:val="0"/>
          <w:bCs w:val="0"/>
          <w:i w:val="0"/>
          <w:iCs w:val="0"/>
          <w:color w:val="000000"/>
          <w:sz w:val="22"/>
          <w:szCs w:val="22"/>
        </w:rPr>
        <w:t>The probability distribution chart shows the model's separation quality — churned customers cluster near probability 1.0 while retained customers cluster near 0.0, with minimal overlap, demonstrating excellent model discrimination.</w:t>
      </w:r>
    </w:p>
    <w:p w14:paraId="76A9B8E3">
      <w:pPr>
        <w:spacing w:before="80" w:after="160"/>
        <w:jc w:val="center"/>
      </w:pPr>
      <w:r>
        <w:rPr>
          <w:rFonts w:ascii="Arial" w:hAnsi="Arial" w:eastAsia="Arial" w:cs="Arial"/>
          <w:i/>
          <w:iCs/>
          <w:color w:val="000000"/>
          <w:sz w:val="20"/>
          <w:szCs w:val="20"/>
        </w:rPr>
        <w:t>Figure 11: Churn Probability Distribution by Actual Churn Status</w:t>
      </w:r>
    </w:p>
    <w:p w14:paraId="46EAE153">
      <w:pPr>
        <w:pStyle w:val="2"/>
        <w:pBdr>
          <w:bottom w:val="single" w:color="000000" w:sz="6" w:space="1"/>
        </w:pBdr>
        <w:spacing w:before="360" w:after="120"/>
      </w:pPr>
      <w:r>
        <w:rPr>
          <w:rFonts w:ascii="Arial" w:hAnsi="Arial" w:eastAsia="Arial" w:cs="Arial"/>
          <w:b/>
          <w:bCs/>
          <w:color w:val="000000"/>
          <w:sz w:val="32"/>
          <w:szCs w:val="32"/>
        </w:rPr>
        <w:t>9.  Deployment</w:t>
      </w:r>
    </w:p>
    <w:p w14:paraId="45C3596A">
      <w:pPr>
        <w:spacing w:before="80" w:after="100" w:line="300" w:lineRule="auto"/>
        <w:jc w:val="both"/>
      </w:pPr>
      <w:r>
        <w:rPr>
          <w:rFonts w:ascii="Arial" w:hAnsi="Arial" w:eastAsia="Arial" w:cs="Arial"/>
          <w:b w:val="0"/>
          <w:bCs w:val="0"/>
          <w:i w:val="0"/>
          <w:iCs w:val="0"/>
          <w:color w:val="000000"/>
          <w:sz w:val="22"/>
          <w:szCs w:val="22"/>
        </w:rPr>
        <w:t>The trained XGBoost model and StandardScaler were saved as serialised .pkl files using Python's Pickle library, making them ready for production deployment. A deployment demonstration was included in the notebook to simulate real-time churn prediction for new, unseen customers.</w:t>
      </w:r>
    </w:p>
    <w:p w14:paraId="5F05F678">
      <w:pPr>
        <w:pStyle w:val="3"/>
        <w:spacing w:before="240" w:after="80"/>
      </w:pPr>
      <w:r>
        <w:rPr>
          <w:rFonts w:ascii="Arial" w:hAnsi="Arial" w:eastAsia="Arial" w:cs="Arial"/>
          <w:b/>
          <w:bCs/>
          <w:color w:val="000000"/>
          <w:sz w:val="26"/>
          <w:szCs w:val="26"/>
        </w:rPr>
        <w:t>9.1  Deployment Architecture</w:t>
      </w:r>
    </w:p>
    <w:p w14:paraId="75B55CD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0AB8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72464328">
            <w:pPr>
              <w:jc w:val="center"/>
            </w:pPr>
            <w:r>
              <w:rPr>
                <w:rFonts w:ascii="Arial" w:hAnsi="Arial" w:eastAsia="Arial" w:cs="Arial"/>
                <w:b/>
                <w:bCs/>
                <w:color w:val="FFFFFF"/>
                <w:sz w:val="20"/>
                <w:szCs w:val="20"/>
              </w:rPr>
              <w:t>Component</w:t>
            </w:r>
          </w:p>
        </w:tc>
        <w:tc>
          <w:tcPr>
            <w:tcW w:w="686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2961B7EB">
            <w:pPr>
              <w:jc w:val="center"/>
            </w:pPr>
            <w:r>
              <w:rPr>
                <w:rFonts w:ascii="Arial" w:hAnsi="Arial" w:eastAsia="Arial" w:cs="Arial"/>
                <w:b/>
                <w:bCs/>
                <w:color w:val="FFFFFF"/>
                <w:sz w:val="20"/>
                <w:szCs w:val="20"/>
              </w:rPr>
              <w:t>Description</w:t>
            </w:r>
          </w:p>
        </w:tc>
      </w:tr>
      <w:tr w14:paraId="789FB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6F6900D">
            <w:pPr>
              <w:jc w:val="left"/>
            </w:pPr>
            <w:r>
              <w:rPr>
                <w:rFonts w:ascii="Arial" w:hAnsi="Arial" w:eastAsia="Arial" w:cs="Arial"/>
                <w:b/>
                <w:bCs/>
                <w:color w:val="000000"/>
                <w:sz w:val="20"/>
                <w:szCs w:val="20"/>
              </w:rPr>
              <w:t>Input</w:t>
            </w:r>
          </w:p>
        </w:tc>
        <w:tc>
          <w:tcPr>
            <w:tcW w:w="68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5DFDD810">
            <w:pPr>
              <w:jc w:val="left"/>
            </w:pPr>
            <w:r>
              <w:rPr>
                <w:rFonts w:ascii="Arial" w:hAnsi="Arial" w:eastAsia="Arial" w:cs="Arial"/>
                <w:b w:val="0"/>
                <w:bCs w:val="0"/>
                <w:color w:val="000000"/>
                <w:sz w:val="20"/>
                <w:szCs w:val="20"/>
              </w:rPr>
              <w:t>New customer profile data (JSON or CSV row)</w:t>
            </w:r>
          </w:p>
        </w:tc>
      </w:tr>
      <w:tr w14:paraId="2D489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2554F512">
            <w:pPr>
              <w:jc w:val="left"/>
            </w:pPr>
            <w:r>
              <w:rPr>
                <w:rFonts w:ascii="Arial" w:hAnsi="Arial" w:eastAsia="Arial" w:cs="Arial"/>
                <w:b/>
                <w:bCs/>
                <w:color w:val="000000"/>
                <w:sz w:val="20"/>
                <w:szCs w:val="20"/>
              </w:rPr>
              <w:t>Preprocessing</w:t>
            </w:r>
          </w:p>
        </w:tc>
        <w:tc>
          <w:tcPr>
            <w:tcW w:w="68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51A4A932">
            <w:pPr>
              <w:jc w:val="left"/>
            </w:pPr>
            <w:r>
              <w:rPr>
                <w:rFonts w:ascii="Arial" w:hAnsi="Arial" w:eastAsia="Arial" w:cs="Arial"/>
                <w:b w:val="0"/>
                <w:bCs w:val="0"/>
                <w:color w:val="000000"/>
                <w:sz w:val="20"/>
                <w:szCs w:val="20"/>
              </w:rPr>
              <w:t>StandardScaler applied (loaded from scaler.pkl)</w:t>
            </w:r>
          </w:p>
        </w:tc>
      </w:tr>
      <w:tr w14:paraId="6853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C07C054">
            <w:pPr>
              <w:jc w:val="left"/>
            </w:pPr>
            <w:r>
              <w:rPr>
                <w:rFonts w:ascii="Arial" w:hAnsi="Arial" w:eastAsia="Arial" w:cs="Arial"/>
                <w:b/>
                <w:bCs/>
                <w:color w:val="000000"/>
                <w:sz w:val="20"/>
                <w:szCs w:val="20"/>
              </w:rPr>
              <w:t>Model</w:t>
            </w:r>
          </w:p>
        </w:tc>
        <w:tc>
          <w:tcPr>
            <w:tcW w:w="68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75FFD66">
            <w:pPr>
              <w:jc w:val="left"/>
            </w:pPr>
            <w:r>
              <w:rPr>
                <w:rFonts w:ascii="Arial" w:hAnsi="Arial" w:eastAsia="Arial" w:cs="Arial"/>
                <w:b w:val="0"/>
                <w:bCs w:val="0"/>
                <w:color w:val="000000"/>
                <w:sz w:val="20"/>
                <w:szCs w:val="20"/>
              </w:rPr>
              <w:t>XGBoost classifier loaded from best_model.pkl</w:t>
            </w:r>
          </w:p>
        </w:tc>
      </w:tr>
      <w:tr w14:paraId="1F0B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B15070F">
            <w:pPr>
              <w:jc w:val="left"/>
            </w:pPr>
            <w:r>
              <w:rPr>
                <w:rFonts w:ascii="Arial" w:hAnsi="Arial" w:eastAsia="Arial" w:cs="Arial"/>
                <w:b/>
                <w:bCs/>
                <w:color w:val="000000"/>
                <w:sz w:val="20"/>
                <w:szCs w:val="20"/>
              </w:rPr>
              <w:t>Output</w:t>
            </w:r>
          </w:p>
        </w:tc>
        <w:tc>
          <w:tcPr>
            <w:tcW w:w="68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89E7728">
            <w:pPr>
              <w:jc w:val="left"/>
            </w:pPr>
            <w:r>
              <w:rPr>
                <w:rFonts w:ascii="Arial" w:hAnsi="Arial" w:eastAsia="Arial" w:cs="Arial"/>
                <w:b w:val="0"/>
                <w:bCs w:val="0"/>
                <w:color w:val="000000"/>
                <w:sz w:val="20"/>
                <w:szCs w:val="20"/>
              </w:rPr>
              <w:t>Churn label (0/1), probability score, risk tier</w:t>
            </w:r>
          </w:p>
        </w:tc>
      </w:tr>
      <w:tr w14:paraId="559C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E725A1D">
            <w:pPr>
              <w:jc w:val="left"/>
            </w:pPr>
            <w:r>
              <w:rPr>
                <w:rFonts w:ascii="Arial" w:hAnsi="Arial" w:eastAsia="Arial" w:cs="Arial"/>
                <w:b/>
                <w:bCs/>
                <w:color w:val="000000"/>
                <w:sz w:val="20"/>
                <w:szCs w:val="20"/>
              </w:rPr>
              <w:t>Action</w:t>
            </w:r>
          </w:p>
        </w:tc>
        <w:tc>
          <w:tcPr>
            <w:tcW w:w="68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B14D399">
            <w:pPr>
              <w:jc w:val="left"/>
            </w:pPr>
            <w:r>
              <w:rPr>
                <w:rFonts w:ascii="Arial" w:hAnsi="Arial" w:eastAsia="Arial" w:cs="Arial"/>
                <w:b w:val="0"/>
                <w:bCs w:val="0"/>
                <w:color w:val="000000"/>
                <w:sz w:val="20"/>
                <w:szCs w:val="20"/>
              </w:rPr>
              <w:t>CRM alert triggered for High/Medium risk customers</w:t>
            </w:r>
          </w:p>
        </w:tc>
      </w:tr>
    </w:tbl>
    <w:p w14:paraId="481F380F">
      <w:pPr>
        <w:spacing w:before="160" w:after="0"/>
      </w:pPr>
    </w:p>
    <w:p w14:paraId="3B768747">
      <w:pPr>
        <w:pStyle w:val="3"/>
        <w:spacing w:before="240" w:after="80"/>
      </w:pPr>
      <w:r>
        <w:rPr>
          <w:rFonts w:ascii="Arial" w:hAnsi="Arial" w:eastAsia="Arial" w:cs="Arial"/>
          <w:b/>
          <w:bCs/>
          <w:color w:val="000000"/>
          <w:sz w:val="26"/>
          <w:szCs w:val="26"/>
        </w:rPr>
        <w:t>9.2  Deployment Options</w:t>
      </w:r>
    </w:p>
    <w:p w14:paraId="02E6930C">
      <w:pPr>
        <w:pStyle w:val="16"/>
        <w:numPr>
          <w:ilvl w:val="0"/>
          <w:numId w:val="1"/>
        </w:numPr>
        <w:spacing w:before="60" w:after="60" w:line="280" w:lineRule="auto"/>
      </w:pPr>
      <w:r>
        <w:rPr>
          <w:rFonts w:ascii="Arial" w:hAnsi="Arial" w:eastAsia="Arial" w:cs="Arial"/>
          <w:color w:val="000000"/>
          <w:sz w:val="22"/>
          <w:szCs w:val="22"/>
        </w:rPr>
        <w:t>Flask / FastAPI — Build a REST API endpoint that accepts customer data and returns churn predictions.</w:t>
      </w:r>
    </w:p>
    <w:p w14:paraId="4AFB4159">
      <w:pPr>
        <w:pStyle w:val="16"/>
        <w:numPr>
          <w:ilvl w:val="0"/>
          <w:numId w:val="1"/>
        </w:numPr>
        <w:spacing w:before="60" w:after="60" w:line="280" w:lineRule="auto"/>
      </w:pPr>
      <w:r>
        <w:rPr>
          <w:rFonts w:ascii="Arial" w:hAnsi="Arial" w:eastAsia="Arial" w:cs="Arial"/>
          <w:color w:val="000000"/>
          <w:sz w:val="22"/>
          <w:szCs w:val="22"/>
        </w:rPr>
        <w:t>Streamlit Dashboard — Interactive web dashboard for business analysts to query predictions without coding.</w:t>
      </w:r>
    </w:p>
    <w:p w14:paraId="04D17933">
      <w:pPr>
        <w:pStyle w:val="16"/>
        <w:numPr>
          <w:ilvl w:val="0"/>
          <w:numId w:val="1"/>
        </w:numPr>
        <w:spacing w:before="60" w:after="60" w:line="280" w:lineRule="auto"/>
      </w:pPr>
      <w:r>
        <w:rPr>
          <w:rFonts w:ascii="Arial" w:hAnsi="Arial" w:eastAsia="Arial" w:cs="Arial"/>
          <w:color w:val="000000"/>
          <w:sz w:val="22"/>
          <w:szCs w:val="22"/>
        </w:rPr>
        <w:t>CRM Integration — Connect the model output directly to Salesforce, HubSpot, or Zoho CRM for automated alerts.</w:t>
      </w:r>
    </w:p>
    <w:p w14:paraId="4B14EAC1">
      <w:pPr>
        <w:pStyle w:val="16"/>
        <w:numPr>
          <w:ilvl w:val="0"/>
          <w:numId w:val="1"/>
        </w:numPr>
        <w:spacing w:before="60" w:after="60" w:line="280" w:lineRule="auto"/>
      </w:pPr>
      <w:r>
        <w:rPr>
          <w:rFonts w:ascii="Arial" w:hAnsi="Arial" w:eastAsia="Arial" w:cs="Arial"/>
          <w:color w:val="000000"/>
          <w:sz w:val="22"/>
          <w:szCs w:val="22"/>
        </w:rPr>
        <w:t>Batch Scoring — Run the model on the entire customer database nightly to refresh risk tiers.</w:t>
      </w:r>
    </w:p>
    <w:p w14:paraId="6C74AAFD">
      <w:pPr>
        <w:pStyle w:val="16"/>
        <w:numPr>
          <w:ilvl w:val="0"/>
          <w:numId w:val="1"/>
        </w:numPr>
        <w:spacing w:before="60" w:after="60" w:line="280" w:lineRule="auto"/>
      </w:pPr>
      <w:r>
        <w:rPr>
          <w:rFonts w:ascii="Arial" w:hAnsi="Arial" w:eastAsia="Arial" w:cs="Arial"/>
          <w:color w:val="000000"/>
          <w:sz w:val="22"/>
          <w:szCs w:val="22"/>
        </w:rPr>
        <w:t>Cloud Deployment — Host on AWS SageMaker, Google Vertex AI, or Azure ML for scalable production use.</w:t>
      </w:r>
    </w:p>
    <w:p w14:paraId="7575E972">
      <w:pPr>
        <w:pStyle w:val="2"/>
        <w:pBdr>
          <w:bottom w:val="single" w:color="000000" w:sz="6" w:space="1"/>
        </w:pBdr>
        <w:spacing w:before="360" w:after="120"/>
      </w:pPr>
      <w:r>
        <w:rPr>
          <w:rFonts w:ascii="Arial" w:hAnsi="Arial" w:eastAsia="Arial" w:cs="Arial"/>
          <w:b/>
          <w:bCs/>
          <w:color w:val="000000"/>
          <w:sz w:val="32"/>
          <w:szCs w:val="32"/>
        </w:rPr>
        <w:t>10.  Learning Outcomes</w:t>
      </w:r>
    </w:p>
    <w:p w14:paraId="4B8033DD">
      <w:pPr>
        <w:spacing w:before="80" w:after="100" w:line="300" w:lineRule="auto"/>
        <w:jc w:val="both"/>
      </w:pPr>
      <w:r>
        <w:rPr>
          <w:rFonts w:ascii="Arial" w:hAnsi="Arial" w:eastAsia="Arial" w:cs="Arial"/>
          <w:b w:val="0"/>
          <w:bCs w:val="0"/>
          <w:i w:val="0"/>
          <w:iCs w:val="0"/>
          <w:color w:val="000000"/>
          <w:sz w:val="22"/>
          <w:szCs w:val="22"/>
        </w:rPr>
        <w:t>This project provided hands-on experience across the full Machine Learning pipeline. The following key learning outcomes were achieved:</w:t>
      </w:r>
    </w:p>
    <w:p w14:paraId="24C1C69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FB83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4A0635CB">
            <w:pPr>
              <w:jc w:val="center"/>
            </w:pPr>
            <w:r>
              <w:rPr>
                <w:rFonts w:ascii="Arial" w:hAnsi="Arial" w:eastAsia="Arial" w:cs="Arial"/>
                <w:b/>
                <w:bCs/>
                <w:color w:val="FFFFFF"/>
                <w:sz w:val="20"/>
                <w:szCs w:val="20"/>
              </w:rPr>
              <w:t>Learning Area</w:t>
            </w:r>
          </w:p>
        </w:tc>
        <w:tc>
          <w:tcPr>
            <w:tcW w:w="6360" w:type="dxa"/>
            <w:tcBorders>
              <w:top w:val="single" w:color="000000" w:sz="4" w:space="0"/>
              <w:left w:val="single" w:color="000000" w:sz="4" w:space="0"/>
              <w:bottom w:val="single" w:color="000000" w:sz="4" w:space="0"/>
              <w:right w:val="single" w:color="000000" w:sz="4" w:space="0"/>
            </w:tcBorders>
            <w:shd w:val="clear" w:color="auto" w:fill="000000"/>
            <w:tcMar>
              <w:top w:w="80" w:type="dxa"/>
              <w:left w:w="120" w:type="dxa"/>
              <w:bottom w:w="80" w:type="dxa"/>
              <w:right w:w="120" w:type="dxa"/>
            </w:tcMar>
            <w:vAlign w:val="center"/>
          </w:tcPr>
          <w:p w14:paraId="28D9522C">
            <w:pPr>
              <w:jc w:val="center"/>
            </w:pPr>
            <w:r>
              <w:rPr>
                <w:rFonts w:ascii="Arial" w:hAnsi="Arial" w:eastAsia="Arial" w:cs="Arial"/>
                <w:b/>
                <w:bCs/>
                <w:color w:val="FFFFFF"/>
                <w:sz w:val="20"/>
                <w:szCs w:val="20"/>
              </w:rPr>
              <w:t>Skills Developed</w:t>
            </w:r>
          </w:p>
        </w:tc>
      </w:tr>
      <w:tr w14:paraId="0B40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28FC4937">
            <w:pPr>
              <w:jc w:val="left"/>
            </w:pPr>
            <w:r>
              <w:rPr>
                <w:rFonts w:ascii="Arial" w:hAnsi="Arial" w:eastAsia="Arial" w:cs="Arial"/>
                <w:b/>
                <w:bCs/>
                <w:color w:val="000000"/>
                <w:sz w:val="20"/>
                <w:szCs w:val="20"/>
              </w:rPr>
              <w:t>Customer Analytics</w:t>
            </w:r>
          </w:p>
        </w:tc>
        <w:tc>
          <w:tcPr>
            <w:tcW w:w="6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6DA4DFBC">
            <w:pPr>
              <w:jc w:val="left"/>
            </w:pPr>
            <w:r>
              <w:rPr>
                <w:rFonts w:ascii="Arial" w:hAnsi="Arial" w:eastAsia="Arial" w:cs="Arial"/>
                <w:b w:val="0"/>
                <w:bCs w:val="0"/>
                <w:color w:val="000000"/>
                <w:sz w:val="20"/>
                <w:szCs w:val="20"/>
              </w:rPr>
              <w:t>Understanding churn patterns, customer segmentation, and business KPIs</w:t>
            </w:r>
          </w:p>
        </w:tc>
      </w:tr>
      <w:tr w14:paraId="3FFDF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42C6752">
            <w:pPr>
              <w:jc w:val="left"/>
            </w:pPr>
            <w:r>
              <w:rPr>
                <w:rFonts w:ascii="Arial" w:hAnsi="Arial" w:eastAsia="Arial" w:cs="Arial"/>
                <w:b/>
                <w:bCs/>
                <w:color w:val="000000"/>
                <w:sz w:val="20"/>
                <w:szCs w:val="20"/>
              </w:rPr>
              <w:t>Data Preprocessing</w:t>
            </w:r>
          </w:p>
        </w:tc>
        <w:tc>
          <w:tcPr>
            <w:tcW w:w="63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84DBE59">
            <w:pPr>
              <w:jc w:val="left"/>
            </w:pPr>
            <w:r>
              <w:rPr>
                <w:rFonts w:ascii="Arial" w:hAnsi="Arial" w:eastAsia="Arial" w:cs="Arial"/>
                <w:b w:val="0"/>
                <w:bCs w:val="0"/>
                <w:color w:val="000000"/>
                <w:sz w:val="20"/>
                <w:szCs w:val="20"/>
              </w:rPr>
              <w:t>Handling missing values, encoding, normalisation, duplicate detection</w:t>
            </w:r>
          </w:p>
        </w:tc>
      </w:tr>
      <w:tr w14:paraId="2C75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4EAF1990">
            <w:pPr>
              <w:jc w:val="left"/>
            </w:pPr>
            <w:r>
              <w:rPr>
                <w:rFonts w:ascii="Arial" w:hAnsi="Arial" w:eastAsia="Arial" w:cs="Arial"/>
                <w:b/>
                <w:bCs/>
                <w:color w:val="000000"/>
                <w:sz w:val="20"/>
                <w:szCs w:val="20"/>
              </w:rPr>
              <w:t>Classification Algorithms</w:t>
            </w:r>
          </w:p>
        </w:tc>
        <w:tc>
          <w:tcPr>
            <w:tcW w:w="6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5C74311">
            <w:pPr>
              <w:jc w:val="left"/>
            </w:pPr>
            <w:r>
              <w:rPr>
                <w:rFonts w:ascii="Arial" w:hAnsi="Arial" w:eastAsia="Arial" w:cs="Arial"/>
                <w:b w:val="0"/>
                <w:bCs w:val="0"/>
                <w:color w:val="000000"/>
                <w:sz w:val="20"/>
                <w:szCs w:val="20"/>
              </w:rPr>
              <w:t>Logistic Regression, Decision Tree, Random Forest, XGBoost implementation and tuning</w:t>
            </w:r>
          </w:p>
        </w:tc>
      </w:tr>
      <w:tr w14:paraId="4637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79ABE76">
            <w:pPr>
              <w:jc w:val="left"/>
            </w:pPr>
            <w:r>
              <w:rPr>
                <w:rFonts w:ascii="Arial" w:hAnsi="Arial" w:eastAsia="Arial" w:cs="Arial"/>
                <w:b/>
                <w:bCs/>
                <w:color w:val="000000"/>
                <w:sz w:val="20"/>
                <w:szCs w:val="20"/>
              </w:rPr>
              <w:t>Model Evaluation Metrics</w:t>
            </w:r>
          </w:p>
        </w:tc>
        <w:tc>
          <w:tcPr>
            <w:tcW w:w="63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7E7122FD">
            <w:pPr>
              <w:jc w:val="left"/>
            </w:pPr>
            <w:r>
              <w:rPr>
                <w:rFonts w:ascii="Arial" w:hAnsi="Arial" w:eastAsia="Arial" w:cs="Arial"/>
                <w:b w:val="0"/>
                <w:bCs w:val="0"/>
                <w:color w:val="000000"/>
                <w:sz w:val="20"/>
                <w:szCs w:val="20"/>
              </w:rPr>
              <w:t>Accuracy, Precision, Recall, F1 Score, ROC-AUC, Confusion Matrix interpretation</w:t>
            </w:r>
          </w:p>
        </w:tc>
      </w:tr>
      <w:tr w14:paraId="54722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18500772">
            <w:pPr>
              <w:jc w:val="left"/>
            </w:pPr>
            <w:r>
              <w:rPr>
                <w:rFonts w:ascii="Arial" w:hAnsi="Arial" w:eastAsia="Arial" w:cs="Arial"/>
                <w:b/>
                <w:bCs/>
                <w:color w:val="000000"/>
                <w:sz w:val="20"/>
                <w:szCs w:val="20"/>
              </w:rPr>
              <w:t>Feature Engineering</w:t>
            </w:r>
          </w:p>
        </w:tc>
        <w:tc>
          <w:tcPr>
            <w:tcW w:w="6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3BE7A7A7">
            <w:pPr>
              <w:jc w:val="left"/>
            </w:pPr>
            <w:r>
              <w:rPr>
                <w:rFonts w:ascii="Arial" w:hAnsi="Arial" w:eastAsia="Arial" w:cs="Arial"/>
                <w:b w:val="0"/>
                <w:bCs w:val="0"/>
                <w:color w:val="000000"/>
                <w:sz w:val="20"/>
                <w:szCs w:val="20"/>
              </w:rPr>
              <w:t>Creating informative derived features to improve model signal</w:t>
            </w:r>
          </w:p>
        </w:tc>
      </w:tr>
      <w:tr w14:paraId="288AB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0AC49133">
            <w:pPr>
              <w:jc w:val="left"/>
            </w:pPr>
            <w:r>
              <w:rPr>
                <w:rFonts w:ascii="Arial" w:hAnsi="Arial" w:eastAsia="Arial" w:cs="Arial"/>
                <w:b/>
                <w:bCs/>
                <w:color w:val="000000"/>
                <w:sz w:val="20"/>
                <w:szCs w:val="20"/>
              </w:rPr>
              <w:t>Business Decision Support</w:t>
            </w:r>
          </w:p>
        </w:tc>
        <w:tc>
          <w:tcPr>
            <w:tcW w:w="63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350A4690">
            <w:pPr>
              <w:jc w:val="left"/>
            </w:pPr>
            <w:r>
              <w:rPr>
                <w:rFonts w:ascii="Arial" w:hAnsi="Arial" w:eastAsia="Arial" w:cs="Arial"/>
                <w:b w:val="0"/>
                <w:bCs w:val="0"/>
                <w:color w:val="000000"/>
                <w:sz w:val="20"/>
                <w:szCs w:val="20"/>
              </w:rPr>
              <w:t>Translating model outputs into actionable risk tiers and retention strategies</w:t>
            </w:r>
          </w:p>
        </w:tc>
      </w:tr>
      <w:tr w14:paraId="76F7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2DC6CEA">
            <w:pPr>
              <w:jc w:val="left"/>
            </w:pPr>
            <w:r>
              <w:rPr>
                <w:rFonts w:ascii="Arial" w:hAnsi="Arial" w:eastAsia="Arial" w:cs="Arial"/>
                <w:b/>
                <w:bCs/>
                <w:color w:val="000000"/>
                <w:sz w:val="20"/>
                <w:szCs w:val="20"/>
              </w:rPr>
              <w:t>Data Visualisation</w:t>
            </w:r>
          </w:p>
        </w:tc>
        <w:tc>
          <w:tcPr>
            <w:tcW w:w="6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14:paraId="083DA87B">
            <w:pPr>
              <w:jc w:val="left"/>
            </w:pPr>
            <w:r>
              <w:rPr>
                <w:rFonts w:ascii="Arial" w:hAnsi="Arial" w:eastAsia="Arial" w:cs="Arial"/>
                <w:b w:val="0"/>
                <w:bCs w:val="0"/>
                <w:color w:val="000000"/>
                <w:sz w:val="20"/>
                <w:szCs w:val="20"/>
              </w:rPr>
              <w:t>Matplotlib &amp; Seaborn charts for EDA, model comparison, and reporting</w:t>
            </w:r>
          </w:p>
        </w:tc>
      </w:tr>
      <w:tr w14:paraId="6DD0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1E9AA51E">
            <w:pPr>
              <w:jc w:val="left"/>
            </w:pPr>
            <w:r>
              <w:rPr>
                <w:rFonts w:ascii="Arial" w:hAnsi="Arial" w:eastAsia="Arial" w:cs="Arial"/>
                <w:b/>
                <w:bCs/>
                <w:color w:val="000000"/>
                <w:sz w:val="20"/>
                <w:szCs w:val="20"/>
              </w:rPr>
              <w:t>Model Deployment</w:t>
            </w:r>
          </w:p>
        </w:tc>
        <w:tc>
          <w:tcPr>
            <w:tcW w:w="636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14:paraId="2614B199">
            <w:pPr>
              <w:jc w:val="left"/>
            </w:pPr>
            <w:r>
              <w:rPr>
                <w:rFonts w:ascii="Arial" w:hAnsi="Arial" w:eastAsia="Arial" w:cs="Arial"/>
                <w:b w:val="0"/>
                <w:bCs w:val="0"/>
                <w:color w:val="000000"/>
                <w:sz w:val="20"/>
                <w:szCs w:val="20"/>
              </w:rPr>
              <w:t>Serialisation, persistence, and real-time prediction for new data</w:t>
            </w:r>
          </w:p>
        </w:tc>
      </w:tr>
    </w:tbl>
    <w:p w14:paraId="1088EB1C">
      <w:pPr>
        <w:spacing w:before="160" w:after="0"/>
      </w:pPr>
    </w:p>
    <w:p w14:paraId="0055DB4F">
      <w:pPr>
        <w:pStyle w:val="2"/>
        <w:pBdr>
          <w:bottom w:val="single" w:color="000000" w:sz="6" w:space="1"/>
        </w:pBdr>
        <w:spacing w:before="360" w:after="120"/>
      </w:pPr>
      <w:r>
        <w:rPr>
          <w:rFonts w:ascii="Arial" w:hAnsi="Arial" w:eastAsia="Arial" w:cs="Arial"/>
          <w:b/>
          <w:bCs/>
          <w:color w:val="000000"/>
          <w:sz w:val="32"/>
          <w:szCs w:val="32"/>
        </w:rPr>
        <w:t>11.  Future Scope</w:t>
      </w:r>
    </w:p>
    <w:p w14:paraId="7FF9467E">
      <w:pPr>
        <w:spacing w:before="80" w:after="100" w:line="300" w:lineRule="auto"/>
        <w:jc w:val="both"/>
      </w:pPr>
      <w:r>
        <w:rPr>
          <w:rFonts w:ascii="Arial" w:hAnsi="Arial" w:eastAsia="Arial" w:cs="Arial"/>
          <w:b w:val="0"/>
          <w:bCs w:val="0"/>
          <w:i w:val="0"/>
          <w:iCs w:val="0"/>
          <w:color w:val="000000"/>
          <w:sz w:val="22"/>
          <w:szCs w:val="22"/>
        </w:rPr>
        <w:t>This project establishes a strong foundation for a production-grade customer churn prediction system. Several enhancements and extensions are planned or recommended for future development:</w:t>
      </w:r>
    </w:p>
    <w:p w14:paraId="5BA0C881">
      <w:pPr>
        <w:pStyle w:val="3"/>
        <w:spacing w:before="240" w:after="80"/>
      </w:pPr>
      <w:r>
        <w:rPr>
          <w:rFonts w:ascii="Arial" w:hAnsi="Arial" w:eastAsia="Arial" w:cs="Arial"/>
          <w:b/>
          <w:bCs/>
          <w:color w:val="000000"/>
          <w:sz w:val="26"/>
          <w:szCs w:val="26"/>
        </w:rPr>
        <w:t>11.1  Real-Time Churn Monitoring</w:t>
      </w:r>
    </w:p>
    <w:p w14:paraId="459492DB">
      <w:pPr>
        <w:spacing w:before="80" w:after="100" w:line="300" w:lineRule="auto"/>
        <w:jc w:val="both"/>
      </w:pPr>
      <w:r>
        <w:rPr>
          <w:rFonts w:ascii="Arial" w:hAnsi="Arial" w:eastAsia="Arial" w:cs="Arial"/>
          <w:b w:val="0"/>
          <w:bCs w:val="0"/>
          <w:i w:val="0"/>
          <w:iCs w:val="0"/>
          <w:color w:val="000000"/>
          <w:sz w:val="22"/>
          <w:szCs w:val="22"/>
        </w:rPr>
        <w:t>The current model operates in batch prediction mode. A future enhancement would involve building a real-time streaming pipeline using Apache Kafka or AWS Kinesis to monitor customer behaviour events (support calls, billing changes, service usage drops) and trigger churn risk alerts instantly as they occur.</w:t>
      </w:r>
    </w:p>
    <w:p w14:paraId="49D32B50">
      <w:pPr>
        <w:pStyle w:val="3"/>
        <w:spacing w:before="240" w:after="80"/>
      </w:pPr>
      <w:r>
        <w:rPr>
          <w:rFonts w:ascii="Arial" w:hAnsi="Arial" w:eastAsia="Arial" w:cs="Arial"/>
          <w:b/>
          <w:bCs/>
          <w:color w:val="000000"/>
          <w:sz w:val="26"/>
          <w:szCs w:val="26"/>
        </w:rPr>
        <w:t>11.2  CRM System Integration</w:t>
      </w:r>
    </w:p>
    <w:p w14:paraId="738D5A56">
      <w:pPr>
        <w:spacing w:before="80" w:after="100" w:line="300" w:lineRule="auto"/>
        <w:jc w:val="both"/>
      </w:pPr>
      <w:r>
        <w:rPr>
          <w:rFonts w:ascii="Arial" w:hAnsi="Arial" w:eastAsia="Arial" w:cs="Arial"/>
          <w:b w:val="0"/>
          <w:bCs w:val="0"/>
          <w:i w:val="0"/>
          <w:iCs w:val="0"/>
          <w:color w:val="000000"/>
          <w:sz w:val="22"/>
          <w:szCs w:val="22"/>
        </w:rPr>
        <w:t>The prediction model can be integrated directly into popular CRM platforms such as Salesforce, HubSpot, Microsoft Dynamics, or Zoho CRM via REST API. This would enable sales and retention teams to see each customer's churn risk score directly within their existing workflow, without requiring any data science expertise.</w:t>
      </w:r>
    </w:p>
    <w:p w14:paraId="2CC7D5C0">
      <w:pPr>
        <w:pStyle w:val="3"/>
        <w:spacing w:before="240" w:after="80"/>
      </w:pPr>
      <w:r>
        <w:rPr>
          <w:rFonts w:ascii="Arial" w:hAnsi="Arial" w:eastAsia="Arial" w:cs="Arial"/>
          <w:b/>
          <w:bCs/>
          <w:color w:val="000000"/>
          <w:sz w:val="26"/>
          <w:szCs w:val="26"/>
        </w:rPr>
        <w:t>11.3  Automated Retention Recommendation Engine</w:t>
      </w:r>
    </w:p>
    <w:p w14:paraId="35700395">
      <w:pPr>
        <w:spacing w:before="80" w:after="100" w:line="300" w:lineRule="auto"/>
        <w:jc w:val="both"/>
      </w:pPr>
      <w:r>
        <w:rPr>
          <w:rFonts w:ascii="Arial" w:hAnsi="Arial" w:eastAsia="Arial" w:cs="Arial"/>
          <w:b w:val="0"/>
          <w:bCs w:val="0"/>
          <w:i w:val="0"/>
          <w:iCs w:val="0"/>
          <w:color w:val="000000"/>
          <w:sz w:val="22"/>
          <w:szCs w:val="22"/>
        </w:rPr>
        <w:t>Beyond predicting churn, the system could be extended to recommend personalised retention interventions — such as which specific offer, discount, or upgrade is most likely to retain each at-risk customer. This could be achieved using a secondary recommendation model trained on historical retention outcomes.</w:t>
      </w:r>
    </w:p>
    <w:p w14:paraId="451925F9">
      <w:pPr>
        <w:pStyle w:val="3"/>
        <w:spacing w:before="240" w:after="80"/>
      </w:pPr>
      <w:r>
        <w:rPr>
          <w:rFonts w:ascii="Arial" w:hAnsi="Arial" w:eastAsia="Arial" w:cs="Arial"/>
          <w:b/>
          <w:bCs/>
          <w:color w:val="000000"/>
          <w:sz w:val="26"/>
          <w:szCs w:val="26"/>
        </w:rPr>
        <w:t>11.4  Deep Learning Models</w:t>
      </w:r>
    </w:p>
    <w:p w14:paraId="09D628F9">
      <w:pPr>
        <w:spacing w:before="80" w:after="100" w:line="300" w:lineRule="auto"/>
        <w:jc w:val="both"/>
      </w:pPr>
      <w:r>
        <w:rPr>
          <w:rFonts w:ascii="Arial" w:hAnsi="Arial" w:eastAsia="Arial" w:cs="Arial"/>
          <w:b w:val="0"/>
          <w:bCs w:val="0"/>
          <w:i w:val="0"/>
          <w:iCs w:val="0"/>
          <w:color w:val="000000"/>
          <w:sz w:val="22"/>
          <w:szCs w:val="22"/>
        </w:rPr>
        <w:t>For larger datasets with richer behavioural signals, deep learning approaches such as Long Short-Term Memory (LSTM) networks for sequential customer interaction data, or TabNet for tabular classification, could potentially yield further performance improvements over gradient boosting methods.</w:t>
      </w:r>
    </w:p>
    <w:p w14:paraId="589A041A">
      <w:pPr>
        <w:pStyle w:val="3"/>
        <w:spacing w:before="240" w:after="80"/>
      </w:pPr>
      <w:r>
        <w:rPr>
          <w:rFonts w:ascii="Arial" w:hAnsi="Arial" w:eastAsia="Arial" w:cs="Arial"/>
          <w:b/>
          <w:bCs/>
          <w:color w:val="000000"/>
          <w:sz w:val="26"/>
          <w:szCs w:val="26"/>
        </w:rPr>
        <w:t>11.5  Explainability with SHAP</w:t>
      </w:r>
    </w:p>
    <w:p w14:paraId="78B59094">
      <w:pPr>
        <w:spacing w:before="80" w:after="100" w:line="300" w:lineRule="auto"/>
        <w:jc w:val="both"/>
      </w:pPr>
      <w:r>
        <w:rPr>
          <w:rFonts w:ascii="Arial" w:hAnsi="Arial" w:eastAsia="Arial" w:cs="Arial"/>
          <w:b w:val="0"/>
          <w:bCs w:val="0"/>
          <w:i w:val="0"/>
          <w:iCs w:val="0"/>
          <w:color w:val="000000"/>
          <w:sz w:val="22"/>
          <w:szCs w:val="22"/>
        </w:rPr>
        <w:t>Integrating SHAP (SHapley Additive exPlanations) values would allow per-customer explanation of churn predictions — enabling retention agents to understand exactly why a specific customer is considered high-risk and tailor their outreach accordingly.</w:t>
      </w:r>
    </w:p>
    <w:p w14:paraId="4247A7AD">
      <w:pPr>
        <w:pStyle w:val="3"/>
        <w:spacing w:before="240" w:after="80"/>
      </w:pPr>
      <w:r>
        <w:rPr>
          <w:rFonts w:ascii="Arial" w:hAnsi="Arial" w:eastAsia="Arial" w:cs="Arial"/>
          <w:b/>
          <w:bCs/>
          <w:color w:val="000000"/>
          <w:sz w:val="26"/>
          <w:szCs w:val="26"/>
        </w:rPr>
        <w:t>11.6  Class Imbalance Handling</w:t>
      </w:r>
    </w:p>
    <w:p w14:paraId="12AA0A51">
      <w:pPr>
        <w:spacing w:before="80" w:after="100" w:line="300" w:lineRule="auto"/>
        <w:jc w:val="both"/>
      </w:pPr>
      <w:r>
        <w:rPr>
          <w:rFonts w:ascii="Arial" w:hAnsi="Arial" w:eastAsia="Arial" w:cs="Arial"/>
          <w:b w:val="0"/>
          <w:bCs w:val="0"/>
          <w:i w:val="0"/>
          <w:iCs w:val="0"/>
          <w:color w:val="000000"/>
          <w:sz w:val="22"/>
          <w:szCs w:val="22"/>
        </w:rPr>
        <w:t>In real-world datasets, churn rates are often much lower (5–15%). Techniques such as SMOTE (Synthetic Minority Oversampling Technique), class weighting, or cost-sensitive learning could be applied to improve recall for the minority churn class.</w:t>
      </w:r>
    </w:p>
    <w:p w14:paraId="031C307E">
      <w:pPr>
        <w:pStyle w:val="3"/>
        <w:spacing w:before="240" w:after="80"/>
      </w:pPr>
      <w:r>
        <w:rPr>
          <w:rFonts w:ascii="Arial" w:hAnsi="Arial" w:eastAsia="Arial" w:cs="Arial"/>
          <w:b/>
          <w:bCs/>
          <w:color w:val="000000"/>
          <w:sz w:val="26"/>
          <w:szCs w:val="26"/>
        </w:rPr>
        <w:t>11.7  A/B Testing for Retention Strategies</w:t>
      </w:r>
    </w:p>
    <w:p w14:paraId="5AF072B1">
      <w:pPr>
        <w:spacing w:before="80" w:after="100" w:line="300" w:lineRule="auto"/>
        <w:jc w:val="both"/>
      </w:pPr>
      <w:r>
        <w:rPr>
          <w:rFonts w:ascii="Arial" w:hAnsi="Arial" w:eastAsia="Arial" w:cs="Arial"/>
          <w:b w:val="0"/>
          <w:bCs w:val="0"/>
          <w:i w:val="0"/>
          <w:iCs w:val="0"/>
          <w:color w:val="000000"/>
          <w:sz w:val="22"/>
          <w:szCs w:val="22"/>
        </w:rPr>
        <w:t>The model's predictions can be used to design controlled A/B experiments — randomly assigning predicted at-risk customers to treatment (intervention) and control (no intervention) groups — to quantify the actual business impact of ML-driven retention campaigns.</w:t>
      </w:r>
    </w:p>
    <w:p w14:paraId="08DFE56A">
      <w:pPr>
        <w:pStyle w:val="2"/>
        <w:pBdr>
          <w:bottom w:val="single" w:color="000000" w:sz="6" w:space="1"/>
        </w:pBdr>
        <w:spacing w:before="360" w:after="120"/>
      </w:pPr>
      <w:r>
        <w:rPr>
          <w:rFonts w:ascii="Arial" w:hAnsi="Arial" w:eastAsia="Arial" w:cs="Arial"/>
          <w:b/>
          <w:bCs/>
          <w:color w:val="000000"/>
          <w:sz w:val="32"/>
          <w:szCs w:val="32"/>
        </w:rPr>
        <w:t>12.  Conclusion</w:t>
      </w:r>
    </w:p>
    <w:p w14:paraId="74987158">
      <w:pPr>
        <w:spacing w:before="80" w:after="100" w:line="300" w:lineRule="auto"/>
        <w:jc w:val="both"/>
      </w:pPr>
      <w:r>
        <w:rPr>
          <w:rFonts w:ascii="Arial" w:hAnsi="Arial" w:eastAsia="Arial" w:cs="Arial"/>
          <w:b w:val="0"/>
          <w:bCs w:val="0"/>
          <w:i w:val="0"/>
          <w:iCs w:val="0"/>
          <w:color w:val="000000"/>
          <w:sz w:val="22"/>
          <w:szCs w:val="22"/>
        </w:rPr>
        <w:t>This project successfully developed a comprehensive, end-to-end Machine Learning system for Customer Churn Prediction. Starting from raw customer data and progressing through data cleaning, exploratory analysis, feature engineering, multi-algorithm training, rigorous evaluation, and model deployment, the project demonstrates the complete data science lifecycle applied to a high-impact real-world business problem.</w:t>
      </w:r>
    </w:p>
    <w:p w14:paraId="140AF6D6">
      <w:pPr>
        <w:spacing w:before="80" w:after="100" w:line="300" w:lineRule="auto"/>
        <w:jc w:val="both"/>
      </w:pPr>
      <w:r>
        <w:rPr>
          <w:rFonts w:ascii="Arial" w:hAnsi="Arial" w:eastAsia="Arial" w:cs="Arial"/>
          <w:b w:val="0"/>
          <w:bCs w:val="0"/>
          <w:i w:val="0"/>
          <w:iCs w:val="0"/>
          <w:color w:val="000000"/>
          <w:sz w:val="22"/>
          <w:szCs w:val="22"/>
        </w:rPr>
        <w:t>Among the four classification models evaluated — Logistic Regression, Decision Tree, Random Forest, and XGBoost — the XGBoost model delivered the best performance, achieving 100% accuracy and a perfect ROC-AUC score of 1.0 on the test dataset. The Random Forest model was a close second, with 99.5% accuracy and an AUC of 0.9999, making it an excellent production alternative with greater interpretability.</w:t>
      </w:r>
    </w:p>
    <w:p w14:paraId="4ABE5FDE">
      <w:pPr>
        <w:spacing w:before="80" w:after="100" w:line="300" w:lineRule="auto"/>
        <w:jc w:val="both"/>
      </w:pPr>
      <w:r>
        <w:rPr>
          <w:rFonts w:ascii="Arial" w:hAnsi="Arial" w:eastAsia="Arial" w:cs="Arial"/>
          <w:b w:val="0"/>
          <w:bCs w:val="0"/>
          <w:i w:val="0"/>
          <w:iCs w:val="0"/>
          <w:color w:val="000000"/>
          <w:sz w:val="22"/>
          <w:szCs w:val="22"/>
        </w:rPr>
        <w:t>The feature importance analysis confirmed that Contract Type, Tenure, Monthly Charges, and Customer Support Calls are the primary drivers of customer churn — findings that align well with domain knowledge and business intuition. The engineered features (ChargesPerMonth, SupportCallRate, IsNewCustomer, IsHighValue) further enhanced model predictive power.</w:t>
      </w:r>
    </w:p>
    <w:p w14:paraId="05C1A248">
      <w:pPr>
        <w:spacing w:before="80" w:after="100" w:line="300" w:lineRule="auto"/>
        <w:jc w:val="both"/>
      </w:pPr>
      <w:r>
        <w:rPr>
          <w:rFonts w:ascii="Arial" w:hAnsi="Arial" w:eastAsia="Arial" w:cs="Arial"/>
          <w:b w:val="0"/>
          <w:bCs w:val="0"/>
          <w:i w:val="0"/>
          <w:iCs w:val="0"/>
          <w:color w:val="000000"/>
          <w:sz w:val="22"/>
          <w:szCs w:val="22"/>
        </w:rPr>
        <w:t>The risk tier classification system — segmenting customers into Low, Medium, and High risk categories based on predicted churn probability — provides an immediately actionable framework for retention teams. High-risk customers can be prioritised for urgent intervention, while medium-risk customers can be engaged proactively with loyalty programmes and targeted offers.</w:t>
      </w:r>
    </w:p>
    <w:p w14:paraId="10558931">
      <w:pPr>
        <w:spacing w:before="80" w:after="100" w:line="300" w:lineRule="auto"/>
        <w:jc w:val="both"/>
      </w:pPr>
      <w:r>
        <w:rPr>
          <w:rFonts w:ascii="Arial" w:hAnsi="Arial" w:eastAsia="Arial" w:cs="Arial"/>
          <w:b w:val="0"/>
          <w:bCs w:val="0"/>
          <w:i w:val="0"/>
          <w:iCs w:val="0"/>
          <w:color w:val="000000"/>
          <w:sz w:val="22"/>
          <w:szCs w:val="22"/>
        </w:rPr>
        <w:t>In summary, this project demonstrates that Machine Learning can serve as a powerful tool for customer retention strategy, enabling data-driven decision-making that reduces churn, improves customer lifetime value, and delivers measurable business impact. The model is fully trained, evaluated, deployed, and ready for integration into any customer management workflow.</w:t>
      </w:r>
      <w:bookmarkStart w:id="0" w:name="_GoBack"/>
      <w:bookmarkEnd w:id="0"/>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69023">
    <w:pPr>
      <w:pBdr>
        <w:top w:val="single" w:color="000000" w:sz="4" w:space="1"/>
      </w:pBdr>
      <w:spacing w:before="120"/>
      <w:jc w:val="both"/>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16651">
    <w:pPr>
      <w:pBdr>
        <w:bottom w:val="single" w:color="000000" w:sz="4" w:space="1"/>
      </w:pBdr>
      <w:spacing w:after="120"/>
      <w:jc w:val="right"/>
    </w:pPr>
    <w:r>
      <w:rPr>
        <w:rFonts w:ascii="Arial" w:hAnsi="Arial" w:eastAsia="Arial" w:cs="Arial"/>
        <w:i/>
        <w:iCs/>
        <w:color w:val="555555"/>
        <w:sz w:val="18"/>
        <w:szCs w:val="18"/>
      </w:rPr>
      <w:t>Customer Churn Prediction Using Machine Learning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documentProtection w:enforcement="0"/>
  <w:compat>
    <w:compatSetting w:name="compatibilityMode" w:uri="http://schemas.microsoft.com/office/word" w:val="15"/>
  </w:compat>
  <w:rsids>
    <w:rsidRoot w:val="00000000"/>
    <w:rsid w:val="18C96D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2"/>
      <w:szCs w:val="22"/>
    </w:rPr>
  </w:style>
  <w:style w:type="paragraph" w:styleId="2">
    <w:name w:val="heading 1"/>
    <w:next w:val="1"/>
    <w:qFormat/>
    <w:uiPriority w:val="0"/>
    <w:pPr>
      <w:spacing w:before="360" w:after="120"/>
      <w:outlineLvl w:val="0"/>
    </w:pPr>
    <w:rPr>
      <w:rFonts w:ascii="Arial" w:hAnsi="Arial" w:eastAsia="Arial" w:cs="Arial"/>
      <w:b/>
      <w:bCs/>
      <w:color w:val="000000"/>
      <w:sz w:val="32"/>
      <w:szCs w:val="32"/>
    </w:rPr>
  </w:style>
  <w:style w:type="paragraph" w:styleId="3">
    <w:name w:val="heading 2"/>
    <w:next w:val="1"/>
    <w:qFormat/>
    <w:uiPriority w:val="0"/>
    <w:pPr>
      <w:spacing w:before="240" w:after="80"/>
      <w:outlineLvl w:val="1"/>
    </w:pPr>
    <w:rPr>
      <w:rFonts w:ascii="Arial" w:hAnsi="Arial" w:eastAsia="Arial" w:cs="Arial"/>
      <w:b/>
      <w:bCs/>
      <w:color w:val="000000"/>
      <w:sz w:val="26"/>
      <w:szCs w:val="26"/>
    </w:rPr>
  </w:style>
  <w:style w:type="paragraph" w:styleId="4">
    <w:name w:val="heading 3"/>
    <w:next w:val="1"/>
    <w:qFormat/>
    <w:uiPriority w:val="0"/>
    <w:pPr>
      <w:spacing w:before="200" w:after="60"/>
      <w:outlineLvl w:val="2"/>
    </w:pPr>
    <w:rPr>
      <w:rFonts w:ascii="Arial" w:hAnsi="Arial" w:eastAsia="Arial" w:cs="Arial"/>
      <w:b/>
      <w:bCs/>
      <w:color w:val="000000"/>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000000"/>
      <w:sz w:val="56"/>
      <w:szCs w:val="56"/>
    </w:rPr>
  </w:style>
  <w:style w:type="paragraph" w:styleId="16">
    <w:name w:val="List Paragraph"/>
    <w:qFormat/>
    <w:uiPriority w:val="0"/>
    <w:rPr>
      <w:rFonts w:ascii="Arial" w:hAnsi="Arial" w:eastAsia="Arial" w:cs="Arial"/>
      <w:color w:val="00000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1916</Words>
  <Characters>11856</Characters>
  <TotalTime>2</TotalTime>
  <ScaleCrop>false</ScaleCrop>
  <LinksUpToDate>false</LinksUpToDate>
  <CharactersWithSpaces>13610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2026-06-29T03:08:00Z</dcterms:created>
  <dc:creator>Un-named</dc:creator>
  <cp:lastModifiedBy>RIDDHI</cp:lastModifiedBy>
  <dcterms:modified xsi:type="dcterms:W3CDTF">2026-06-29T03:28:57Z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eyJoZGlkIjoiOGFhOWQ4MzIzMGZmNGE5ODcwOGQzMGNmNTc0OGMxNjMifQ==</vt:lpwstr>
  </property>
  <property fmtid="{D5CDD505-2E9C-101B-9397-08002B2CF9AE}" pid="3" name="KSOProductBuildVer">
    <vt:lpwstr>1033-12.1.0.25242</vt:lpwstr>
  </property>
  <property fmtid="{D5CDD505-2E9C-101B-9397-08002B2CF9AE}" pid="4" name="ICV">
    <vt:lpwstr>EF7979AE272B4A3E934D3386045502CF_12</vt:lpwstr>
  </property>
</Properties>
</file>