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wmf" ContentType="image/x-wmf"/>
  <Override PartName="/word/media/image10.jpeg" ContentType="image/jpeg"/>
  <Override PartName="/word/media/image8.wmf" ContentType="image/x-wmf"/>
  <Override PartName="/word/media/image7.png" ContentType="image/png"/>
  <Override PartName="/word/media/image5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numPr>
          <w:ilvl w:val="0"/>
          <w:numId w:val="0"/>
        </w:numPr>
        <w:spacing w:before="120" w:after="120"/>
        <w:jc w:val="left"/>
        <w:rPr/>
      </w:pPr>
      <w:bookmarkStart w:id="0" w:name="_Toc337628990"/>
      <w:bookmarkEnd w:id="0"/>
      <w:r>
        <w:rPr>
          <w:rStyle w:val="Strong"/>
          <w:rFonts w:ascii="Trebuchet MS" w:hAnsi="Trebuchet MS"/>
        </w:rPr>
        <w:t>PC Requirement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CPU</w:t>
      </w:r>
      <w:r>
        <w:rPr/>
        <w:t>: Intel E3400 or higher, Frequency: 2GHz+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Memory</w:t>
      </w:r>
      <w:r>
        <w:rPr/>
        <w:t>: 4GB+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OS</w:t>
      </w:r>
      <w:r>
        <w:rPr/>
        <w:t xml:space="preserve">: Windows XP/Windows 7 version. 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 xml:space="preserve">USB2.0 root hub is a must, </w:t>
      </w:r>
      <w:r>
        <w:rPr>
          <w:b/>
          <w:color w:val="FF0000"/>
        </w:rPr>
        <w:t>NO USB 1.1 root hub is allowed</w:t>
      </w:r>
      <w:r>
        <w:rPr>
          <w:b/>
        </w:rPr>
        <w:t>.</w:t>
      </w:r>
    </w:p>
    <w:p>
      <w:pPr>
        <w:pStyle w:val="ListParagraph"/>
        <w:rPr/>
      </w:pPr>
      <w:r>
        <w:rPr/>
        <w:drawing>
          <wp:inline distT="0" distB="0" distL="19050" distR="0">
            <wp:extent cx="4610100" cy="5495925"/>
            <wp:effectExtent l="0" t="0" r="0" b="0"/>
            <wp:docPr id="1" name="Image1" descr="USB 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USB hub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External USB hub is allowed with restrictions below:</w:t>
      </w:r>
    </w:p>
    <w:p>
      <w:pPr>
        <w:pStyle w:val="ListParagraph"/>
        <w:numPr>
          <w:ilvl w:val="1"/>
          <w:numId w:val="2"/>
        </w:numPr>
        <w:rPr>
          <w:b/>
          <w:b/>
        </w:rPr>
      </w:pPr>
      <w:r>
        <w:rPr>
          <w:b/>
        </w:rPr>
        <w:t>Must use independent power supply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 xml:space="preserve">Must pass the compliance test of USB org, </w:t>
      </w:r>
      <w:r>
        <w:rPr>
          <w:b/>
          <w:color w:val="FF0000"/>
        </w:rPr>
        <w:t>Belkin USB hub is recommended</w:t>
      </w:r>
      <w:r>
        <w:rPr>
          <w:b/>
        </w:rPr>
        <w:t>.</w:t>
      </w:r>
    </w:p>
    <w:p>
      <w:pPr>
        <w:pStyle w:val="Normal"/>
        <w:numPr>
          <w:ilvl w:val="1"/>
          <w:numId w:val="2"/>
        </w:numPr>
        <w:rPr>
          <w:rStyle w:val="Strong"/>
          <w:rFonts w:ascii="Trebuchet MS" w:hAnsi="Trebuchet MS"/>
        </w:rPr>
      </w:pPr>
      <w:r>
        <w:rPr>
          <w:b/>
        </w:rPr>
        <w:t xml:space="preserve">No more than </w:t>
      </w:r>
      <w:r>
        <w:rPr>
          <w:b/>
          <w:color w:val="FF0000"/>
          <w:sz w:val="32"/>
          <w:szCs w:val="32"/>
        </w:rPr>
        <w:t>4</w:t>
      </w:r>
      <w:r>
        <w:rPr>
          <w:b/>
        </w:rPr>
        <w:t xml:space="preserve"> devices are allowed to be connected to USB hub.</w:t>
      </w:r>
      <w:r>
        <w:br w:type="page"/>
      </w:r>
    </w:p>
    <w:p>
      <w:pPr>
        <w:pStyle w:val="Normal"/>
        <w:numPr>
          <w:ilvl w:val="0"/>
          <w:numId w:val="1"/>
        </w:numPr>
        <w:spacing w:before="120" w:after="120"/>
        <w:rPr/>
      </w:pPr>
      <w:r>
        <w:rPr>
          <w:rStyle w:val="Strong"/>
          <w:rFonts w:ascii="Trebuchet MS" w:hAnsi="Trebuchet MS"/>
        </w:rPr>
        <w:t>Step 1</w:t>
      </w:r>
    </w:p>
    <w:p>
      <w:pPr>
        <w:pStyle w:val="Normal"/>
        <w:spacing w:before="120" w:after="120"/>
        <w:rPr/>
      </w:pPr>
      <w:r>
        <w:rPr>
          <w:rFonts w:ascii="Trebuchet MS" w:hAnsi="Trebuchet MS"/>
        </w:rPr>
        <w:t>Set the correct boot mode and connect the OTG port to the PC on which the MFG Tool application will be run.</w:t>
      </w:r>
    </w:p>
    <w:p>
      <w:pPr>
        <w:pStyle w:val="Normal"/>
        <w:spacing w:before="120" w:after="120"/>
        <w:rPr/>
      </w:pPr>
      <w:r>
        <w:rPr>
          <w:rFonts w:ascii="Trebuchet MS" w:hAnsi="Trebuchet MS"/>
        </w:rPr>
        <w:t>After connecting to PC with the correct boot mode setting, a HID-compliant device will be shown in the Device Manager as shown below:</w:t>
      </w:r>
      <w:r>
        <w:rPr>
          <w:rFonts w:ascii="Trebuchet MS" w:hAnsi="Trebuchet MS"/>
        </w:rPr>
        <w:drawing>
          <wp:inline distT="0" distB="0" distL="0" distR="0">
            <wp:extent cx="3990975" cy="572452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pacing w:before="120" w:after="120"/>
        <w:jc w:val="left"/>
        <w:rPr>
          <w:rStyle w:val="Strong"/>
          <w:rFonts w:ascii="Trebuchet MS" w:hAnsi="Trebuchet MS"/>
        </w:rPr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spacing w:before="120" w:after="120"/>
        <w:rPr/>
      </w:pPr>
      <w:r>
        <w:rPr>
          <w:rStyle w:val="Strong"/>
          <w:rFonts w:ascii="Trebuchet MS" w:hAnsi="Trebuchet MS"/>
        </w:rPr>
        <w:t>Step 2</w:t>
      </w:r>
    </w:p>
    <w:p>
      <w:pPr>
        <w:pStyle w:val="Normal"/>
        <w:spacing w:before="120" w:after="120"/>
        <w:rPr/>
      </w:pPr>
      <w:r>
        <w:rPr>
          <w:rFonts w:ascii="Trebuchet MS" w:hAnsi="Trebuchet MS"/>
        </w:rPr>
        <w:t>Double click the application to run.</w:t>
      </w:r>
    </w:p>
    <w:p>
      <w:pPr>
        <w:pStyle w:val="Normal"/>
        <w:spacing w:before="120" w:after="120"/>
        <w:rPr/>
      </w:pPr>
      <w:r>
        <w:rPr>
          <w:rFonts w:ascii="Trebuchet MS" w:hAnsi="Trebuchet MS"/>
        </w:rPr>
        <w:t xml:space="preserve">There is a limitation that, when using the MFGTool V2 for the first time to </w:t>
      </w:r>
      <w:r>
        <w:rPr>
          <w:rFonts w:ascii="Trebuchet MS" w:hAnsi="Trebuchet MS"/>
        </w:rPr>
        <w:t xml:space="preserve">run </w:t>
      </w:r>
      <w:r>
        <w:rPr>
          <w:rFonts w:ascii="Trebuchet MS" w:hAnsi="Trebuchet MS"/>
        </w:rPr>
        <w:t xml:space="preserve">an image </w:t>
      </w:r>
      <w:r>
        <w:rPr>
          <w:rFonts w:ascii="Trebuchet MS" w:hAnsi="Trebuchet MS"/>
        </w:rPr>
        <w:t xml:space="preserve">on </w:t>
      </w:r>
      <w:r>
        <w:rPr>
          <w:rFonts w:ascii="Trebuchet MS" w:hAnsi="Trebuchet MS"/>
        </w:rPr>
        <w:t>a device, the device must be connected to PC before MFGTool V2 starts running.</w:t>
      </w:r>
    </w:p>
    <w:p>
      <w:pPr>
        <w:pStyle w:val="Normal"/>
        <w:spacing w:before="120" w:after="120"/>
        <w:rPr>
          <w:rFonts w:ascii="Trebuchet MS" w:hAnsi="Trebuchet MS"/>
        </w:rPr>
      </w:pPr>
      <w:r>
        <w:rPr>
          <w:rFonts w:ascii="Trebuchet MS" w:hAnsi="Trebuchet MS"/>
        </w:rPr>
        <w:t>Only two buttons can be clicked, Start/Stop, and Exit.</w:t>
      </w:r>
    </w:p>
    <w:p>
      <w:pPr>
        <w:pStyle w:val="Normal"/>
        <w:spacing w:before="120" w:after="120"/>
        <w:rPr/>
      </w:pPr>
      <w:r>
        <w:rPr>
          <w:rFonts w:ascii="Trebuchet MS" w:hAnsi="Trebuchet MS"/>
        </w:rPr>
        <w:t>Start/Stop is used to start/stop the process.</w:t>
      </w:r>
    </w:p>
    <w:p>
      <w:pPr>
        <w:pStyle w:val="Normal"/>
        <w:spacing w:before="120" w:after="120"/>
        <w:rPr/>
      </w:pPr>
      <w:r>
        <w:rPr>
          <w:rFonts w:ascii="Trebuchet MS" w:hAnsi="Trebuchet MS"/>
        </w:rPr>
        <w:t>Exit is used to exit this application. Please note that you can exit the application only after you stop the process.</w:t>
      </w:r>
    </w:p>
    <w:p>
      <w:pPr>
        <w:pStyle w:val="Normal"/>
        <w:spacing w:before="120" w:after="120"/>
        <w:rPr>
          <w:rFonts w:ascii="Trebuchet MS" w:hAnsi="Trebuchet MS"/>
        </w:rPr>
      </w:pPr>
      <w:r>
        <w:rPr/>
        <w:drawing>
          <wp:inline distT="0" distB="0" distL="0" distR="0">
            <wp:extent cx="4133850" cy="174307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before="120" w:after="120"/>
        <w:rPr>
          <w:rFonts w:ascii="Trebuchet MS" w:hAnsi="Trebuchet MS"/>
          <w:b/>
          <w:b/>
          <w:bCs/>
        </w:rPr>
      </w:pPr>
      <w:r>
        <w:rPr>
          <w:rStyle w:val="Strong"/>
          <w:rFonts w:ascii="Trebuchet MS" w:hAnsi="Trebuchet MS"/>
        </w:rPr>
        <w:t>Step 4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  <w:t>Click “Start” button. If you have a terminal tool to monitor the debug serial port of your board, it is suggested to open it. You can get more information from it.</w:t>
      </w:r>
    </w:p>
    <w:p>
      <w:pPr>
        <w:pStyle w:val="Normal"/>
        <w:rPr>
          <w:rFonts w:ascii="Trebuchet MS" w:hAnsi="Trebuchet MS"/>
        </w:rPr>
      </w:pPr>
      <w:r>
        <w:rPr/>
        <w:drawing>
          <wp:inline distT="0" distB="0" distL="0" distR="0">
            <wp:extent cx="4143375" cy="173355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  <w:t>Process continuing:</w:t>
      </w:r>
    </w:p>
    <w:p>
      <w:pPr>
        <w:pStyle w:val="Normal"/>
        <w:rPr>
          <w:rFonts w:ascii="Trebuchet MS" w:hAnsi="Trebuchet MS"/>
        </w:rPr>
      </w:pPr>
      <w:r>
        <w:rPr/>
        <w:drawing>
          <wp:inline distT="0" distB="0" distL="0" distR="0">
            <wp:extent cx="4143375" cy="174307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"/>
        <w:rPr>
          <w:rStyle w:val="Strong"/>
          <w:rFonts w:ascii="Trebuchet MS" w:hAnsi="Trebuchet MS"/>
          <w:b w:val="false"/>
          <w:b w:val="false"/>
        </w:rPr>
      </w:pPr>
      <w:r>
        <w:rPr>
          <w:rStyle w:val="Strong"/>
          <w:rFonts w:ascii="Trebuchet MS" w:hAnsi="Trebuchet MS"/>
          <w:b w:val="false"/>
        </w:rPr>
        <w:t>You can find information from the terminal.</w:t>
      </w:r>
    </w:p>
    <w:p>
      <w:pPr>
        <w:pStyle w:val="Normal"/>
        <w:spacing w:before="120" w:after="120"/>
        <w:rPr>
          <w:rStyle w:val="Strong"/>
          <w:b w:val="false"/>
          <w:b w:val="false"/>
          <w:bCs w:val="false"/>
        </w:rPr>
      </w:pPr>
      <w:r>
        <w:rPr/>
        <w:drawing>
          <wp:inline distT="0" distB="0" distL="0" distR="0">
            <wp:extent cx="4343400" cy="253365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"/>
        <w:rPr>
          <w:rStyle w:val="Strong"/>
          <w:rFonts w:ascii="Trebuchet MS" w:hAnsi="Trebuchet MS"/>
          <w:b w:val="false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rPr>
          <w:rStyle w:val="Strong"/>
          <w:rFonts w:ascii="Trebuchet MS" w:hAnsi="Trebuchet MS"/>
          <w:b w:val="false"/>
          <w:b w:val="false"/>
          <w:bCs w:val="false"/>
        </w:rPr>
      </w:pPr>
      <w:r>
        <w:rPr>
          <w:rFonts w:ascii="Trebuchet MS" w:hAnsi="Trebuchet MS"/>
        </w:rPr>
        <w:t xml:space="preserve">It is done. Click </w:t>
      </w:r>
      <w:r>
        <w:rPr>
          <w:rStyle w:val="Strong"/>
          <w:rFonts w:ascii="Trebuchet MS" w:hAnsi="Trebuchet MS"/>
          <w:b w:val="false"/>
          <w:bCs w:val="false"/>
        </w:rPr>
        <w:t>“Stop” to finish, and Click “Exit” to terminate the application.</w:t>
      </w:r>
    </w:p>
    <w:p>
      <w:pPr>
        <w:pStyle w:val="Normal"/>
        <w:rPr>
          <w:rFonts w:ascii="Trebuchet MS" w:hAnsi="Trebuchet MS"/>
        </w:rPr>
      </w:pPr>
      <w:r>
        <w:rPr/>
        <w:drawing>
          <wp:inline distT="0" distB="0" distL="0" distR="0">
            <wp:extent cx="4152900" cy="172402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before="120" w:after="120"/>
        <w:jc w:val="right"/>
        <w:rPr/>
      </w:pPr>
      <w:r>
        <w:rPr/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2240" w:h="15840"/>
      <w:pgMar w:left="1800" w:right="1800" w:header="720" w:top="1440" w:footer="720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rebuchet M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ppTitle"/>
      <w:keepNext/>
      <w:widowControl w:val="false"/>
      <w:pBdr>
        <w:bottom w:val="single" w:sz="8" w:space="0" w:color="00000A"/>
      </w:pBdr>
      <w:tabs>
        <w:tab w:val="center" w:pos="5040" w:leader="none"/>
        <w:tab w:val="right" w:pos="10080" w:leader="none"/>
      </w:tabs>
      <w:spacing w:lineRule="atLeast" w:line="220" w:before="0" w:after="0"/>
      <w:rPr>
        <w:sz w:val="18"/>
        <w:szCs w:val="18"/>
      </w:rPr>
    </w:pPr>
    <w:r>
      <w:rPr>
        <w:rStyle w:val="DocOrderInfoChar"/>
        <w:sz w:val="18"/>
        <w:szCs w:val="18"/>
      </w:rPr>
      <w:tab/>
      <w:t>MFGTool2 Quick Start Guide</w:t>
    </w:r>
    <w:r>
      <w:rPr>
        <w:w w:val="100"/>
        <w:sz w:val="16"/>
        <w:szCs w:val="16"/>
      </w:rPr>
      <w:tab/>
    </w:r>
  </w:p>
  <w:p>
    <w:pPr>
      <w:pStyle w:val="AppTitle"/>
      <w:keepNext/>
      <w:widowControl w:val="false"/>
      <w:tabs>
        <w:tab w:val="center" w:pos="5040" w:leader="none"/>
        <w:tab w:val="right" w:pos="10080" w:leader="none"/>
      </w:tabs>
      <w:spacing w:lineRule="atLeast" w:line="220" w:before="0" w:after="0"/>
      <w:jc w:val="both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>
        <w:b w:val="false"/>
        <w:bCs w:val="false"/>
        <w:w w:val="100"/>
        <w:sz w:val="18"/>
        <w:szCs w:val="18"/>
      </w:rPr>
      <w:tab/>
      <w:tab/>
      <w:t>Freescale Semiconductor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ppTitle"/>
      <w:keepNext/>
      <w:widowControl w:val="false"/>
      <w:tabs>
        <w:tab w:val="center" w:pos="5040" w:leader="none"/>
        <w:tab w:val="right" w:pos="9990" w:leader="none"/>
      </w:tabs>
      <w:spacing w:lineRule="atLeast" w:line="220" w:before="0" w:after="0"/>
      <w:jc w:val="both"/>
      <w:rPr>
        <w:rStyle w:val="Red"/>
        <w:b w:val="false"/>
        <w:b w:val="false"/>
        <w:bCs w:val="false"/>
        <w:w w:val="100"/>
        <w:sz w:val="18"/>
        <w:szCs w:val="18"/>
      </w:rPr>
    </w:pPr>
    <w:r>
      <w:rPr>
        <w:rStyle w:val="Red"/>
        <w:b w:val="false"/>
        <w:bCs w:val="false"/>
        <w:w w:val="100"/>
        <w:sz w:val="18"/>
        <w:szCs w:val="18"/>
      </w:rPr>
      <w:tab/>
      <w:tab/>
    </w:r>
    <w:r>
      <w:rPr>
        <w:rStyle w:val="Red"/>
        <w:b w:val="false"/>
        <w:bCs w:val="false"/>
        <w:w w:val="100"/>
        <w:sz w:val="18"/>
        <w:szCs w:val="18"/>
      </w:rPr>
      <w:drawing>
        <wp:inline distT="0" distB="0" distL="0" distR="0">
          <wp:extent cx="533400" cy="438150"/>
          <wp:effectExtent l="0" t="0" r="0" b="0"/>
          <wp:docPr id="9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ParaBody"/>
      <w:rPr/>
    </w:pPr>
    <w:r>
      <w:rPr/>
    </w:r>
  </w:p>
  <w:p>
    <w:pPr>
      <w:pStyle w:val="AppTitle"/>
      <w:keepNext/>
      <w:widowControl w:val="false"/>
      <w:tabs>
        <w:tab w:val="center" w:pos="5040" w:leader="none"/>
        <w:tab w:val="right" w:pos="10080" w:leader="none"/>
      </w:tabs>
      <w:spacing w:lineRule="atLeast" w:line="220" w:before="0" w:after="0"/>
      <w:jc w:val="both"/>
      <w:rPr>
        <w:b w:val="false"/>
        <w:b w:val="false"/>
        <w:bCs w:val="false"/>
        <w:w w:val="100"/>
        <w:sz w:val="18"/>
        <w:szCs w:val="18"/>
      </w:rPr>
    </w:pPr>
    <w:r>
      <w:rPr>
        <w:b w:val="false"/>
        <w:bCs w:val="false"/>
        <w:w w:val="100"/>
        <w:sz w:val="18"/>
        <w:szCs w:val="18"/>
      </w:rPr>
      <w:t>© Freescale Semiconductor, Inc., 2012. All rights reserved.</w:t>
    </w:r>
  </w:p>
  <w:p>
    <w:pPr>
      <w:pStyle w:val="AppTitle"/>
      <w:keepNext/>
      <w:widowControl w:val="false"/>
      <w:tabs>
        <w:tab w:val="center" w:pos="5040" w:leader="none"/>
        <w:tab w:val="right" w:pos="10080" w:leader="none"/>
      </w:tabs>
      <w:spacing w:lineRule="atLeast" w:line="220" w:before="0" w:after="0"/>
      <w:jc w:val="both"/>
      <w:rPr>
        <w:b w:val="false"/>
        <w:b w:val="false"/>
        <w:bCs w:val="false"/>
        <w:w w:val="100"/>
        <w:sz w:val="18"/>
        <w:szCs w:val="18"/>
      </w:rPr>
    </w:pPr>
    <w:r>
      <w:drawing>
        <wp:anchor behindDoc="1" distT="0" distB="0" distL="133350" distR="0" simplePos="0" locked="0" layoutInCell="1" allowOverlap="1" relativeHeight="2">
          <wp:simplePos x="0" y="0"/>
          <wp:positionH relativeFrom="margin">
            <wp:align>right</wp:align>
          </wp:positionH>
          <wp:positionV relativeFrom="paragraph">
            <wp:align>center</wp:align>
          </wp:positionV>
          <wp:extent cx="1809750" cy="581025"/>
          <wp:effectExtent l="0" t="0" r="0" b="0"/>
          <wp:wrapNone/>
          <wp:docPr id="10" name="Image4" descr="FS_COLOR_LOGOSM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" descr="FS_COLOR_LOGOSM_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false"/>
        <w:bCs w:val="false"/>
        <w:w w:val="100"/>
        <w:sz w:val="18"/>
        <w:szCs w:val="18"/>
      </w:rPr>
      <w:t>_</w:t>
    </w:r>
    <w:r>
      <w:rPr>
        <w:b w:val="false"/>
        <w:bCs w:val="false"/>
        <w:w w:val="100"/>
        <w:sz w:val="18"/>
        <w:szCs w:val="18"/>
      </w:rPr>
      <w:t>______________________________________________________________________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ocType"/>
      <w:rPr/>
    </w:pPr>
    <w:r>
      <w:rPr/>
    </w:r>
  </w:p>
  <w:p>
    <w:pPr>
      <w:pStyle w:val="DocType"/>
      <w:rPr>
        <w:sz w:val="18"/>
        <w:szCs w:val="18"/>
      </w:rPr>
    </w:pPr>
    <w:r>
      <w:rPr>
        <w:rStyle w:val="Bold"/>
        <w:w w:val="100"/>
        <w:sz w:val="18"/>
        <w:szCs w:val="18"/>
      </w:rPr>
      <w:t>Freescale Semiconductor</w:t>
    </w:r>
    <w:r>
      <w:rPr>
        <w:w w:val="100"/>
        <w:sz w:val="18"/>
        <w:szCs w:val="18"/>
      </w:rPr>
      <w:tab/>
    </w:r>
    <w:r>
      <w:rPr>
        <w:rStyle w:val="DocOrderInfoChar"/>
        <w:sz w:val="18"/>
        <w:szCs w:val="18"/>
      </w:rPr>
      <w:t>Document Number: MFGTool V2 (MFGTool2) Quick Start Guide</w:t>
    </w:r>
  </w:p>
  <w:p>
    <w:pPr>
      <w:pStyle w:val="DocOrderInfo"/>
      <w:jc w:val="left"/>
      <w:rPr>
        <w:w w:val="100"/>
        <w:sz w:val="18"/>
        <w:szCs w:val="18"/>
      </w:rPr>
    </w:pPr>
    <w:r>
      <w:rPr>
        <w:w w:val="100"/>
        <w:sz w:val="18"/>
        <w:szCs w:val="18"/>
      </w:rPr>
      <w:tab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ocType"/>
      <w:rPr/>
    </w:pPr>
    <w:r>
      <w:rPr/>
      <w:drawing>
        <wp:inline distT="0" distB="0" distL="0" distR="0">
          <wp:extent cx="6486525" cy="133350"/>
          <wp:effectExtent l="0" t="0" r="0" b="0"/>
          <wp:docPr id="8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33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DocType"/>
      <w:rPr>
        <w:sz w:val="18"/>
        <w:szCs w:val="18"/>
      </w:rPr>
    </w:pPr>
    <w:r>
      <w:rPr>
        <w:rStyle w:val="Bold"/>
        <w:w w:val="100"/>
        <w:sz w:val="18"/>
        <w:szCs w:val="18"/>
      </w:rPr>
      <w:t>Freescale Semiconductor</w:t>
    </w:r>
    <w:r>
      <w:rPr>
        <w:w w:val="100"/>
        <w:sz w:val="18"/>
        <w:szCs w:val="18"/>
      </w:rPr>
      <w:tab/>
    </w:r>
    <w:r>
      <w:rPr>
        <w:rStyle w:val="DocOrderInfoChar"/>
        <w:sz w:val="18"/>
        <w:szCs w:val="18"/>
      </w:rPr>
      <w:t>Document Number: MFGTool V2 (MFGTool2) Quick Start Guide</w:t>
    </w:r>
  </w:p>
  <w:p>
    <w:pPr>
      <w:pStyle w:val="DocOrderInfo"/>
      <w:jc w:val="left"/>
      <w:rPr>
        <w:w w:val="100"/>
        <w:sz w:val="18"/>
        <w:szCs w:val="18"/>
      </w:rPr>
    </w:pPr>
    <w:r>
      <w:rPr>
        <w:w w:val="100"/>
        <w:sz w:val="18"/>
        <w:szCs w:val="18"/>
      </w:rPr>
      <w:tab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Noto Sans Devanagari"/>
        <w:szCs w:val="24"/>
        <w:lang w:val="nb-NO" w:eastAsia="zh-CN" w:bidi="hi-IN"/>
      </w:rPr>
    </w:rPrDefault>
    <w:pPrDefault>
      <w:pPr>
        <w:widowControl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67ab3"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rsid w:val="008c15ef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宋体" w:cs="Noto Sans Devanagari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H1Char" w:customStyle="1">
    <w:name w:val="body text H1 Char"/>
    <w:basedOn w:val="DefaultParagraphFont"/>
    <w:link w:val="bodytextH1"/>
    <w:qFormat/>
    <w:rsid w:val="00e12fcf"/>
    <w:rPr>
      <w:rFonts w:ascii="Trebuchet MS" w:hAnsi="Trebuchet MS" w:eastAsia="SimSun"/>
      <w:i/>
      <w:sz w:val="18"/>
      <w:lang w:val="en-US" w:eastAsia="zh-CN" w:bidi="ar-SA"/>
    </w:rPr>
  </w:style>
  <w:style w:type="character" w:styleId="Strong">
    <w:name w:val="Strong"/>
    <w:basedOn w:val="DefaultParagraphFont"/>
    <w:qFormat/>
    <w:rsid w:val="004a3e5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e73a1"/>
    <w:rPr>
      <w:b/>
      <w:bCs/>
      <w:i/>
      <w:iCs/>
      <w:color w:val="4F81BD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76baf"/>
    <w:rPr>
      <w:b/>
      <w:bCs/>
      <w:i/>
      <w:iCs/>
      <w:color w:val="4F81BD"/>
      <w:sz w:val="24"/>
      <w:szCs w:val="24"/>
    </w:rPr>
  </w:style>
  <w:style w:type="character" w:styleId="HeaderChar" w:customStyle="1">
    <w:name w:val="Header Char"/>
    <w:basedOn w:val="DefaultParagraphFont"/>
    <w:link w:val="Header"/>
    <w:qFormat/>
    <w:rsid w:val="00367ab1"/>
    <w:rPr>
      <w:sz w:val="24"/>
      <w:szCs w:val="24"/>
      <w:lang w:eastAsia="zh-C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67ab1"/>
    <w:rPr>
      <w:sz w:val="24"/>
      <w:szCs w:val="24"/>
      <w:lang w:eastAsia="zh-CN"/>
    </w:rPr>
  </w:style>
  <w:style w:type="character" w:styleId="Bold" w:customStyle="1">
    <w:name w:val="Bold"/>
    <w:qFormat/>
    <w:rsid w:val="00367ab1"/>
    <w:rPr>
      <w:b/>
      <w:bCs/>
    </w:rPr>
  </w:style>
  <w:style w:type="character" w:styleId="DocOrderInfoChar" w:customStyle="1">
    <w:name w:val="Doc_OrderInfo Char"/>
    <w:basedOn w:val="DefaultParagraphFont"/>
    <w:link w:val="DocOrderInfo"/>
    <w:qFormat/>
    <w:rsid w:val="00367ab1"/>
    <w:rPr>
      <w:rFonts w:ascii="Helvetica" w:hAnsi="Helvetica" w:eastAsia="Times New Roman" w:cs="Helvetica"/>
      <w:color w:val="000000"/>
      <w:w w:val="0"/>
      <w:sz w:val="24"/>
      <w:szCs w:val="24"/>
    </w:rPr>
  </w:style>
  <w:style w:type="character" w:styleId="Red" w:customStyle="1">
    <w:name w:val="Red"/>
    <w:qFormat/>
    <w:rsid w:val="00367ab1"/>
    <w:rPr>
      <w:color w:val="FF0000"/>
    </w:rPr>
  </w:style>
  <w:style w:type="character" w:styleId="BalloonTextChar" w:customStyle="1">
    <w:name w:val="Balloon Text Char"/>
    <w:basedOn w:val="DefaultParagraphFont"/>
    <w:link w:val="BalloonText"/>
    <w:qFormat/>
    <w:rsid w:val="00077ae9"/>
    <w:rPr>
      <w:rFonts w:ascii="Tahoma" w:hAnsi="Tahoma" w:cs="Tahoma"/>
      <w:sz w:val="16"/>
      <w:szCs w:val="16"/>
      <w:lang w:eastAsia="zh-CN"/>
    </w:rPr>
  </w:style>
  <w:style w:type="character" w:styleId="InternetLink">
    <w:name w:val="Internet Link"/>
    <w:basedOn w:val="DefaultParagraphFont"/>
    <w:uiPriority w:val="99"/>
    <w:unhideWhenUsed/>
    <w:rsid w:val="00302643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IndexLink">
    <w:name w:val="Index Link"/>
    <w:qFormat/>
    <w:rPr/>
  </w:style>
  <w:style w:type="character" w:styleId="ListLabel25">
    <w:name w:val="ListLabel 25"/>
    <w:qFormat/>
    <w:rPr>
      <w:rFonts w:ascii="Trebuchet MS" w:hAnsi="Trebuchet MS" w:cs="Wingdings"/>
      <w:b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Heading2Char">
    <w:name w:val="Heading 2 Char"/>
    <w:basedOn w:val="DefaultParagraphFont"/>
    <w:qFormat/>
    <w:rPr>
      <w:rFonts w:ascii="Cambria" w:hAnsi="Cambria" w:eastAsia="宋体" w:cs="Noto Sans Devanagari"/>
      <w:b/>
      <w:bCs/>
      <w:color w:val="4F81BD"/>
      <w:sz w:val="26"/>
      <w:szCs w:val="26"/>
    </w:rPr>
  </w:style>
  <w:style w:type="character" w:styleId="Heading1Char">
    <w:name w:val="Heading 1 Char"/>
    <w:basedOn w:val="DefaultParagraphFont"/>
    <w:qFormat/>
    <w:rPr>
      <w:rFonts w:ascii="Cambria" w:hAnsi="Cambria" w:eastAsia="宋体" w:cs="Noto Sans Devanagari"/>
      <w:b/>
      <w:bCs/>
      <w:color w:val="365F91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Tahom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H1" w:customStyle="1">
    <w:name w:val="body text H1"/>
    <w:basedOn w:val="Normal"/>
    <w:link w:val="bodytextH1Char"/>
    <w:autoRedefine/>
    <w:qFormat/>
    <w:rsid w:val="00e12fcf"/>
    <w:pPr>
      <w:spacing w:before="120" w:after="0"/>
      <w:ind w:left="1440" w:hanging="0"/>
      <w:outlineLvl w:val="0"/>
    </w:pPr>
    <w:rPr>
      <w:rFonts w:ascii="Trebuchet MS" w:hAnsi="Trebuchet MS"/>
      <w:i/>
      <w:sz w:val="18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a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b55683"/>
    <w:pPr>
      <w:ind w:left="720" w:hanging="0"/>
    </w:pPr>
    <w:rPr/>
  </w:style>
  <w:style w:type="paragraph" w:styleId="NormalWeb">
    <w:name w:val="Normal (Web)"/>
    <w:basedOn w:val="Normal"/>
    <w:uiPriority w:val="99"/>
    <w:unhideWhenUsed/>
    <w:qFormat/>
    <w:rsid w:val="000e612b"/>
    <w:pPr>
      <w:spacing w:beforeAutospacing="1" w:afterAutospacing="1"/>
    </w:pPr>
    <w:rPr>
      <w:rFonts w:eastAsia="Times New Roman"/>
    </w:rPr>
  </w:style>
  <w:style w:type="paragraph" w:styleId="Header">
    <w:name w:val="Header"/>
    <w:basedOn w:val="Normal"/>
    <w:link w:val="HeaderChar"/>
    <w:rsid w:val="00367ab1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rsid w:val="00367ab1"/>
    <w:pPr>
      <w:tabs>
        <w:tab w:val="center" w:pos="4680" w:leader="none"/>
        <w:tab w:val="right" w:pos="9360" w:leader="none"/>
      </w:tabs>
    </w:pPr>
    <w:rPr/>
  </w:style>
  <w:style w:type="paragraph" w:styleId="DocOrderInfo" w:customStyle="1">
    <w:name w:val="Doc_OrderInfo"/>
    <w:link w:val="DocOrderInfoChar"/>
    <w:qFormat/>
    <w:rsid w:val="00367ab1"/>
    <w:pPr>
      <w:widowControl w:val="false"/>
      <w:tabs>
        <w:tab w:val="right" w:pos="10060" w:leader="none"/>
      </w:tabs>
      <w:kinsoku w:val="true"/>
      <w:overflowPunct w:val="true"/>
      <w:autoSpaceDE w:val="true"/>
      <w:bidi w:val="0"/>
      <w:spacing w:lineRule="atLeast" w:line="280"/>
      <w:jc w:val="right"/>
    </w:pPr>
    <w:rPr>
      <w:rFonts w:ascii="Helvetica" w:hAnsi="Helvetica" w:eastAsia="Times New Roman" w:cs="Helvetica"/>
      <w:color w:val="000000"/>
      <w:w w:val="0"/>
      <w:sz w:val="24"/>
      <w:szCs w:val="24"/>
      <w:lang w:val="en-US" w:eastAsia="en-US" w:bidi="ar-SA"/>
    </w:rPr>
  </w:style>
  <w:style w:type="paragraph" w:styleId="DocType" w:customStyle="1">
    <w:name w:val="Doc_Type"/>
    <w:qFormat/>
    <w:rsid w:val="00367ab1"/>
    <w:pPr>
      <w:widowControl w:val="false"/>
      <w:tabs>
        <w:tab w:val="right" w:pos="10060" w:leader="none"/>
      </w:tabs>
      <w:kinsoku w:val="true"/>
      <w:overflowPunct w:val="true"/>
      <w:autoSpaceDE w:val="true"/>
      <w:bidi w:val="0"/>
      <w:spacing w:lineRule="atLeast" w:line="380"/>
      <w:jc w:val="both"/>
    </w:pPr>
    <w:rPr>
      <w:rFonts w:ascii="Helvetica" w:hAnsi="Helvetica" w:eastAsia="Times New Roman" w:cs="Helvetica"/>
      <w:color w:val="000000"/>
      <w:w w:val="0"/>
      <w:sz w:val="32"/>
      <w:szCs w:val="32"/>
      <w:lang w:val="en-US" w:eastAsia="en-US" w:bidi="ar-SA"/>
    </w:rPr>
  </w:style>
  <w:style w:type="paragraph" w:styleId="AppTitle" w:customStyle="1">
    <w:name w:val="AppTitle"/>
    <w:qFormat/>
    <w:rsid w:val="00367ab1"/>
    <w:pPr>
      <w:keepNext/>
      <w:widowControl/>
      <w:suppressAutoHyphens w:val="true"/>
      <w:kinsoku w:val="true"/>
      <w:overflowPunct w:val="true"/>
      <w:autoSpaceDE w:val="true"/>
      <w:bidi w:val="0"/>
      <w:spacing w:lineRule="atLeast" w:line="400" w:before="0" w:after="140"/>
      <w:jc w:val="left"/>
    </w:pPr>
    <w:rPr>
      <w:rFonts w:ascii="Helvetica" w:hAnsi="Helvetica" w:eastAsia="Times New Roman" w:cs="Helvetica"/>
      <w:b/>
      <w:bCs/>
      <w:color w:val="000000"/>
      <w:w w:val="0"/>
      <w:sz w:val="36"/>
      <w:szCs w:val="36"/>
      <w:lang w:val="en-US" w:eastAsia="en-US" w:bidi="ar-SA"/>
    </w:rPr>
  </w:style>
  <w:style w:type="paragraph" w:styleId="ParaBody" w:customStyle="1">
    <w:name w:val="Para_Body"/>
    <w:qFormat/>
    <w:rsid w:val="00367ab1"/>
    <w:pPr>
      <w:widowControl/>
      <w:suppressAutoHyphens w:val="true"/>
      <w:kinsoku w:val="true"/>
      <w:overflowPunct w:val="true"/>
      <w:autoSpaceDE w:val="true"/>
      <w:bidi w:val="0"/>
      <w:spacing w:lineRule="atLeast" w:line="280" w:before="140" w:after="80"/>
      <w:jc w:val="left"/>
    </w:pPr>
    <w:rPr>
      <w:rFonts w:ascii="Times" w:hAnsi="Times" w:eastAsia="Times New Roman" w:cs="Times"/>
      <w:color w:val="000000"/>
      <w:w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qFormat/>
    <w:rsid w:val="00077ae9"/>
    <w:pPr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2643"/>
    <w:pPr>
      <w:keepLines/>
      <w:spacing w:lineRule="auto" w:line="276" w:before="480" w:after="0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28"/>
      <w:szCs w:val="28"/>
      <w:lang w:eastAsia="en-US"/>
    </w:rPr>
  </w:style>
  <w:style w:type="paragraph" w:styleId="Contents1">
    <w:name w:val="TOC 1"/>
    <w:basedOn w:val="Normal"/>
    <w:next w:val="Normal"/>
    <w:autoRedefine/>
    <w:uiPriority w:val="39"/>
    <w:rsid w:val="00302643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9.wmf"/><Relationship Id="rId2" Type="http://schemas.openxmlformats.org/officeDocument/2006/relationships/image" Target="media/image10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EE762-169D-47AE-B44D-3AE3954F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LibreOffice/5.2.1.2$Linux_X86_64 LibreOffice_project/20m0$Build-2</Application>
  <Pages>5</Pages>
  <Words>296</Words>
  <Characters>1463</Characters>
  <CharactersWithSpaces>1728</CharactersWithSpaces>
  <Paragraphs>39</Paragraphs>
  <Company>Freescale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2012-10-04T22:00:00Z</dcterms:created>
  <dc:creator>Freescale Semiconductor, Inc.</dc:creator>
  <dc:description/>
  <cp:keywords>MFGTool V2</cp:keywords>
  <dc:language>nb-NO</dc:language>
  <cp:lastModifiedBy/>
  <dcterms:modified xsi:type="dcterms:W3CDTF">2016-09-15T09:25:45Z</dcterms:modified>
  <cp:revision>289</cp:revision>
  <dc:subject/>
  <dc:title>Manufacturing Tool V2 (MFGTool2) Quick Start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Freescale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