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A5F"/>
          <w:sz w:val="72"/>
          <w:szCs w:val="72"/>
        </w:rPr>
        <w:t xml:space="preserve">AMBAGAN!</w:t>
      </w:r>
    </w:p>
    <w:p>
      <w:pPr>
        <w:spacing w:after="120"/>
        <w:jc w:val="center"/>
      </w:pPr>
      <w:r>
        <w:rPr>
          <w:i/>
          <w:iCs/>
          <w:color w:val="555555"/>
          <w:sz w:val="28"/>
          <w:szCs w:val="28"/>
        </w:rPr>
        <w:t xml:space="preserve">A Blockchain-Powered Community Savings and Lending Platform</w:t>
      </w:r>
    </w:p>
    <w:p>
      <w:pPr>
        <w:spacing w:after="800"/>
        <w:jc w:val="center"/>
      </w:pPr>
      <w:r>
        <w:rPr>
          <w:color w:val="555555"/>
          <w:sz w:val="24"/>
          <w:szCs w:val="24"/>
        </w:rPr>
        <w:t xml:space="preserve">Built on Stellar</w:t>
      </w:r>
    </w:p>
    <w:p>
      <w:pPr>
        <w:spacing w:after="200"/>
        <w:jc w:val="center"/>
      </w:pPr>
      <w:r>
        <w:rPr>
          <w:b/>
          <w:bCs/>
          <w:sz w:val="36"/>
          <w:szCs w:val="36"/>
        </w:rPr>
        <w:t xml:space="preserve">Software Requirements Specification</w:t>
      </w:r>
    </w:p>
    <w:p>
      <w:pPr>
        <w:spacing w:after="1200"/>
        <w:jc w:val="center"/>
      </w:pPr>
      <w:r>
        <w:rPr>
          <w:color w:val="555555"/>
          <w:sz w:val="24"/>
          <w:szCs w:val="24"/>
        </w:rPr>
        <w:t xml:space="preserve">Version 1.0</w:t>
      </w:r>
    </w:p>
    <w:p>
      <w:pPr>
        <w:spacing w:after="80"/>
        <w:jc w:val="center"/>
      </w:pPr>
      <w:r>
        <w:rPr>
          <w:sz w:val="22"/>
          <w:szCs w:val="22"/>
        </w:rPr>
        <w:t xml:space="preserve">Prepared for the APAC Stellar Hackathon 2026</w:t>
      </w:r>
    </w:p>
    <w:p>
      <w:pPr>
        <w:spacing w:after="80"/>
        <w:jc w:val="center"/>
      </w:pPr>
      <w:r>
        <w:rPr>
          <w:sz w:val="22"/>
          <w:szCs w:val="22"/>
        </w:rPr>
        <w:t xml:space="preserve">Prepared by: Gabrielle</w:t>
      </w:r>
    </w:p>
    <w:p>
      <w:pPr>
        <w:jc w:val="center"/>
      </w:pPr>
      <w:r>
        <w:rPr>
          <w:sz w:val="22"/>
          <w:szCs w:val="22"/>
        </w:rPr>
        <w:t xml:space="preserve">July 2026</w:t>
      </w:r>
    </w:p>
    <w:p>
      <w:r>
        <w:br w:type="page"/>
      </w:r>
    </w:p>
    <w:p>
      <w:pPr>
        <w:pStyle w:val="Heading1"/>
        <w:spacing w:after="180" w:before="360"/>
      </w:pPr>
      <w:r>
        <w:t xml:space="preserve">1. Hackathon Submission Overview</w:t>
      </w:r>
    </w:p>
    <w:p>
      <w:pPr>
        <w:spacing w:after="120" w:line="300"/>
      </w:pPr>
      <w:r>
        <w:rPr>
          <w:i/>
          <w:iCs/>
        </w:rPr>
        <w:t xml:space="preserve">This section captures the core identity of the project as required by the APAC Stellar Hackathon submission format.</w:t>
      </w:r>
    </w:p>
    <w:p>
      <w:pPr>
        <w:pStyle w:val="Heading2"/>
        <w:spacing w:after="140" w:before="280"/>
      </w:pPr>
      <w:r>
        <w:t xml:space="preserve">1.1 Project Name</w:t>
      </w:r>
    </w:p>
    <w:p>
      <w:pPr>
        <w:spacing w:after="120" w:line="300"/>
      </w:pPr>
      <w:r>
        <w:t xml:space="preserve">Ambagan!</w:t>
      </w:r>
    </w:p>
    <w:p>
      <w:pPr>
        <w:spacing w:after="120" w:line="300"/>
      </w:pPr>
      <w:r>
        <w:t xml:space="preserve">The name is taken directly from the Filipino word ambagan, which refers to the practice of pooling money together for a shared purpose. The exclamation mark preserves the informal, communal energy of the tradition.</w:t>
      </w:r>
    </w:p>
    <w:p>
      <w:pPr>
        <w:pStyle w:val="Heading2"/>
        <w:spacing w:after="140" w:before="280"/>
      </w:pPr>
      <w:r>
        <w:t xml:space="preserve">1.2 Problem Statement</w:t>
      </w:r>
    </w:p>
    <w:p>
      <w:pPr>
        <w:spacing w:after="120" w:line="300"/>
      </w:pPr>
      <w:r>
        <w:t xml:space="preserve">Millions of Filipinos participate in informal community savings groups (paluwagan) as their primary form of collective saving and short-term lending. These groups operate on trust, but the mechanics that hold them together are fragile: a single organizer manually tracks contributions in a notebook or spreadsheet, records are frequently lost or disputed, and members have no independent way to verify the pool's balance or that their money is being handled honestly.</w:t>
      </w:r>
    </w:p>
    <w:p>
      <w:pPr>
        <w:spacing w:after="120" w:line="300"/>
      </w:pPr>
      <w:r>
        <w:t xml:space="preserve">When members need short-term financing, there is no democratic mechanism for deciding who receives a loan from the group. Approvals happen through group chats and personal negotiation, leading to unequal treatment, resentment, and disputes. When a borrower defaults or delays repayment, there is no structured escalation path — the group either absorbs the loss silently, or the situation degenerates into personal conflict that damages relationships.</w:t>
      </w:r>
    </w:p>
    <w:p>
      <w:pPr>
        <w:spacing w:after="120" w:line="300"/>
      </w:pPr>
      <w:r>
        <w:t xml:space="preserve">Formal financial institutions do not serve this need. Banks require documentation, credit history, and minimum balances that exclude much of the population. Fintech savings apps like GCash GSave and Tonik Group Stash offer digital savings but do not support community-governed lending. The Filipino paluwagan tradition remains predominantly analog, and its participants continue to bear the cost of missing infrastructure — lost money, broken trust, and damaged relationships.</w:t>
      </w:r>
    </w:p>
    <w:p>
      <w:pPr>
        <w:pStyle w:val="Heading2"/>
        <w:spacing w:after="140" w:before="280"/>
      </w:pPr>
      <w:r>
        <w:t xml:space="preserve">1.3 Proposed Solution</w:t>
      </w:r>
    </w:p>
    <w:p>
      <w:pPr>
        <w:spacing w:after="120" w:line="300"/>
      </w:pPr>
      <w:r>
        <w:t xml:space="preserve">Ambagan is a web-based platform that digitizes the paluwagan model and reinforces it with blockchain-based accountability. Groups create private, invite-only community funds on the platform. Members contribute a fixed amount on a recurring cadence, and the pooled funds sit in a shared group account on the Stellar network.</w:t>
      </w:r>
    </w:p>
    <w:p>
      <w:pPr>
        <w:spacing w:after="120" w:line="300"/>
      </w:pPr>
      <w:r>
        <w:t xml:space="preserve">When a member needs financing, they submit a loan request specifying the amount, purpose, and proposed repayment schedule. The request is put to a group vote. If the group approves it — meeting a configurable threshold of member signatures — the disbursement executes automatically through Stellar's native multi-signature mechanism. The borrower repays the loan with interest according to the agreed schedule, and the interest earned is redistributed to all group members proportionally to their contribution stake.</w:t>
      </w:r>
    </w:p>
    <w:p>
      <w:pPr>
        <w:spacing w:after="120" w:line="300"/>
      </w:pPr>
      <w:r>
        <w:t xml:space="preserve">Every contribution, vote, disbursement, and repayment is recorded on the Stellar blockchain, giving each member independent, tamper-proof visibility into the group's finances. The platform layers on additional features — savings goals, contribution streaks, a credit scoring system based on member behavior, purpose tagging on loans, structured default handling, and ledger exports — to make the experience usable, engaging, and culturally aligned with how Filipino communities actually manage shared money.</w:t>
      </w:r>
    </w:p>
    <w:p>
      <w:pPr>
        <w:pStyle w:val="Heading2"/>
        <w:spacing w:after="140" w:before="280"/>
      </w:pPr>
      <w:r>
        <w:t xml:space="preserve">1.4 Target Users and Audience</w:t>
      </w:r>
    </w:p>
    <w:p>
      <w:pPr>
        <w:spacing w:after="120" w:line="300"/>
      </w:pPr>
      <w:r>
        <w:t xml:space="preserve">Ambagan is built for groups of people who already trust each other enough to consider pooling money, but who lack the infrastructure to do so reliably. The primary users include:</w:t>
      </w:r>
    </w:p>
    <w:p>
      <w:pPr>
        <w:pStyle w:val="ListParagraph"/>
        <w:numPr>
          <w:ilvl w:val="0"/>
          <w:numId w:val="2"/>
        </w:numPr>
        <w:spacing w:after="80" w:line="300"/>
      </w:pPr>
      <w:r>
        <w:rPr>
          <w:b/>
          <w:bCs/>
        </w:rPr>
        <w:t xml:space="preserve">Students and student organizations — </w:t>
      </w:r>
      <w:r>
        <w:t xml:space="preserve">informal savings circles among classmates, dorm mates, and university organizations.</w:t>
      </w:r>
    </w:p>
    <w:p>
      <w:pPr>
        <w:pStyle w:val="ListParagraph"/>
        <w:numPr>
          <w:ilvl w:val="0"/>
          <w:numId w:val="2"/>
        </w:numPr>
        <w:spacing w:after="80" w:line="300"/>
      </w:pPr>
      <w:r>
        <w:rPr>
          <w:b/>
          <w:bCs/>
        </w:rPr>
        <w:t xml:space="preserve">Employee groups — </w:t>
      </w:r>
      <w:r>
        <w:t xml:space="preserve">office-based paluwagan groups, department savings clubs, and cooperative-adjacent workplace groups.</w:t>
      </w:r>
    </w:p>
    <w:p>
      <w:pPr>
        <w:pStyle w:val="ListParagraph"/>
        <w:numPr>
          <w:ilvl w:val="0"/>
          <w:numId w:val="2"/>
        </w:numPr>
        <w:spacing w:after="80" w:line="300"/>
      </w:pPr>
      <w:r>
        <w:rPr>
          <w:b/>
          <w:bCs/>
        </w:rPr>
        <w:t xml:space="preserve">Neighborhood and barangay associations — </w:t>
      </w:r>
      <w:r>
        <w:t xml:space="preserve">community-level savings groups organized around shared geography.</w:t>
      </w:r>
    </w:p>
    <w:p>
      <w:pPr>
        <w:pStyle w:val="ListParagraph"/>
        <w:numPr>
          <w:ilvl w:val="0"/>
          <w:numId w:val="2"/>
        </w:numPr>
        <w:spacing w:after="80" w:line="300"/>
      </w:pPr>
      <w:r>
        <w:rPr>
          <w:b/>
          <w:bCs/>
        </w:rPr>
        <w:t xml:space="preserve">Church and civic groups — </w:t>
      </w:r>
      <w:r>
        <w:t xml:space="preserve">faith-based and civic organizations that pool contributions for members' needs.</w:t>
      </w:r>
    </w:p>
    <w:p>
      <w:pPr>
        <w:pStyle w:val="ListParagraph"/>
        <w:numPr>
          <w:ilvl w:val="0"/>
          <w:numId w:val="2"/>
        </w:numPr>
        <w:spacing w:after="80" w:line="300"/>
      </w:pPr>
      <w:r>
        <w:rPr>
          <w:b/>
          <w:bCs/>
        </w:rPr>
        <w:t xml:space="preserve">Small business and vendor communities — </w:t>
      </w:r>
      <w:r>
        <w:t xml:space="preserve">sari-sari store owners, market vendors, and micro-entrepreneurs who need short-term capital access.</w:t>
      </w:r>
    </w:p>
    <w:p>
      <w:pPr>
        <w:spacing w:after="120" w:line="300"/>
      </w:pPr>
      <w:r>
        <w:t xml:space="preserve">Secondary audiences include cooperatives interested in digitizing their internal savings and lending operations, NGOs supporting microfinance in underbanked communities, and rural savings associations looking to formalize their record keeping without adopting complex banking software.</w:t>
      </w:r>
    </w:p>
    <w:p>
      <w:pPr>
        <w:pStyle w:val="Heading2"/>
        <w:spacing w:after="140" w:before="280"/>
      </w:pPr>
      <w:r>
        <w:t xml:space="preserve">1.5 Expected Stellar Integration</w:t>
      </w:r>
    </w:p>
    <w:p>
      <w:pPr>
        <w:spacing w:after="120" w:line="300"/>
      </w:pPr>
      <w:r>
        <w:t xml:space="preserve">Stellar is not an ancillary layer in Ambagan — it is the trust and settlement foundation of the entire platform. The specific Stellar features and standards used are as follows:</w:t>
      </w:r>
    </w:p>
    <w:p>
      <w:pPr>
        <w:pStyle w:val="ListParagraph"/>
        <w:numPr>
          <w:ilvl w:val="0"/>
          <w:numId w:val="2"/>
        </w:numPr>
        <w:spacing w:after="80" w:line="300"/>
      </w:pPr>
      <w:r>
        <w:rPr>
          <w:b/>
          <w:bCs/>
        </w:rPr>
        <w:t xml:space="preserve">Stellar accounts — </w:t>
      </w:r>
      <w:r>
        <w:t xml:space="preserve">each user and each group fund is represented by a Stellar account. The group's account holds the pooled funds; individual member accounts are used for contributions and for signing loan approvals.</w:t>
      </w:r>
    </w:p>
    <w:p>
      <w:pPr>
        <w:pStyle w:val="ListParagraph"/>
        <w:numPr>
          <w:ilvl w:val="0"/>
          <w:numId w:val="2"/>
        </w:numPr>
        <w:spacing w:after="80" w:line="300"/>
      </w:pPr>
      <w:r>
        <w:rPr>
          <w:b/>
          <w:bCs/>
        </w:rPr>
        <w:t xml:space="preserve">Native multi-signature — </w:t>
      </w:r>
      <w:r>
        <w:t xml:space="preserve">loan approval is enforced by Stellar's built-in threshold signing. A loan cannot be disbursed unless the required number of member signatures is present on the transaction. Governance is enforced at the protocol level, not by the application.</w:t>
      </w:r>
    </w:p>
    <w:p>
      <w:pPr>
        <w:pStyle w:val="ListParagraph"/>
        <w:numPr>
          <w:ilvl w:val="0"/>
          <w:numId w:val="2"/>
        </w:numPr>
        <w:spacing w:after="80" w:line="300"/>
      </w:pPr>
      <w:r>
        <w:rPr>
          <w:b/>
          <w:bCs/>
        </w:rPr>
        <w:t xml:space="preserve">Custom testnet asset — </w:t>
      </w:r>
      <w:r>
        <w:t xml:space="preserve">for the hackathon demonstration, Ambagan issues its own Stellar testnet asset representing the pooled currency. In production, this would map to a PHP-pegged stablecoin issued by a licensed anchor.</w:t>
      </w:r>
    </w:p>
    <w:p>
      <w:pPr>
        <w:pStyle w:val="ListParagraph"/>
        <w:numPr>
          <w:ilvl w:val="0"/>
          <w:numId w:val="2"/>
        </w:numPr>
        <w:spacing w:after="80" w:line="300"/>
      </w:pPr>
      <w:r>
        <w:rPr>
          <w:b/>
          <w:bCs/>
        </w:rPr>
        <w:t xml:space="preserve">Soroban smart contracts — </w:t>
      </w:r>
      <w:r>
        <w:t xml:space="preserve">used for the interest distribution logic, contribution accounting, and default state recording. These contracts run on-chain and their execution is publicly verifiable.</w:t>
      </w:r>
    </w:p>
    <w:p>
      <w:pPr>
        <w:pStyle w:val="ListParagraph"/>
        <w:numPr>
          <w:ilvl w:val="0"/>
          <w:numId w:val="2"/>
        </w:numPr>
        <w:spacing w:after="80" w:line="300"/>
      </w:pPr>
      <w:r>
        <w:rPr>
          <w:b/>
          <w:bCs/>
        </w:rPr>
        <w:t xml:space="preserve">Stellar transaction history as the ledger — </w:t>
      </w:r>
      <w:r>
        <w:t xml:space="preserve">the source of truth for all group financial activity is the blockchain itself. The application reads and presents this history; it does not maintain a shadow ledger.</w:t>
      </w:r>
    </w:p>
    <w:p>
      <w:pPr>
        <w:pStyle w:val="ListParagraph"/>
        <w:numPr>
          <w:ilvl w:val="0"/>
          <w:numId w:val="2"/>
        </w:numPr>
        <w:spacing w:after="80" w:line="300"/>
      </w:pPr>
      <w:r>
        <w:rPr>
          <w:b/>
          <w:bCs/>
        </w:rPr>
        <w:t xml:space="preserve">Freighter wallet integration — </w:t>
      </w:r>
      <w:r>
        <w:t xml:space="preserve">members sign transactions through the Freighter browser wallet, giving them cryptographic control over their own actions on the platform.</w:t>
      </w:r>
    </w:p>
    <w:p>
      <w:pPr>
        <w:spacing w:after="120" w:line="300"/>
      </w:pPr>
      <w:r>
        <w:t xml:space="preserve">This design means that even if the Ambagan web application were taken offline, every group's financial history and current state would remain intact and independently verifiable on the Stellar network.</w:t>
      </w:r>
    </w:p>
    <w:p>
      <w:pPr>
        <w:pStyle w:val="Heading2"/>
        <w:spacing w:after="140" w:before="280"/>
      </w:pPr>
      <w:r>
        <w:t xml:space="preserve">1.6 Hackathon Track</w:t>
      </w:r>
    </w:p>
    <w:p>
      <w:pPr>
        <w:spacing w:after="120" w:line="300"/>
      </w:pPr>
      <w:r>
        <w:t xml:space="preserve">Ambagan falls under the Payments and Disbursements track of the APAC Stellar Hackathon.</w:t>
      </w:r>
    </w:p>
    <w:p>
      <w:pPr>
        <w:spacing w:after="120" w:line="300"/>
      </w:pPr>
      <w:r>
        <w:t xml:space="preserve">The APAC Stellar Hackathon defines four broad integration categories: on/off-ramps, DeFi and liquidity, payments and disbursements, and wallets and identity. Ambagan's core functional loop is a consumer payment flow — recurring member contributions in, community-approved loan disbursements out, and interest redistributions back to members. It is fundamentally about giving underserved communities access to structured financial mechanics that they currently lack, which is the explicit intent of the payments and disbursements category as described in the hackathon brief.</w:t>
      </w:r>
    </w:p>
    <w:p>
      <w:pPr>
        <w:spacing w:after="120" w:line="300"/>
      </w:pPr>
      <w:r>
        <w:t xml:space="preserve">Ambagan also touches the wallets and identity space through its Freighter wallet integration and its internal credit scoring mechanism, but the center of gravity of the project is disbursement and financial access. That is the track under which it is submitted.</w:t>
      </w:r>
    </w:p>
    <w:p>
      <w:r>
        <w:br w:type="page"/>
      </w:r>
    </w:p>
    <w:p>
      <w:pPr>
        <w:pStyle w:val="Heading1"/>
        <w:spacing w:after="180" w:before="360"/>
      </w:pPr>
      <w:r>
        <w:t xml:space="preserve">2. Introduction</w:t>
      </w:r>
    </w:p>
    <w:p>
      <w:pPr>
        <w:pStyle w:val="Heading2"/>
        <w:spacing w:after="140" w:before="280"/>
      </w:pPr>
      <w:r>
        <w:t xml:space="preserve">2.1 Purpose</w:t>
      </w:r>
    </w:p>
    <w:p>
      <w:pPr>
        <w:spacing w:after="120" w:line="300"/>
      </w:pPr>
      <w:r>
        <w:t xml:space="preserve">This Software Requirements Specification (SRS) document describes the functional and non-functional requirements of Ambagan, a blockchain-integrated community savings and lending web application. The document is intended for the project developer, hackathon evaluators, potential technical mentors, and any future contributors who need to understand the full scope, behavior, and technical architecture of the system.</w:t>
      </w:r>
    </w:p>
    <w:p>
      <w:pPr>
        <w:pStyle w:val="Heading2"/>
        <w:spacing w:after="140" w:before="280"/>
      </w:pPr>
      <w:r>
        <w:t xml:space="preserve">2.2 Scope</w:t>
      </w:r>
    </w:p>
    <w:p>
      <w:pPr>
        <w:spacing w:after="120" w:line="300"/>
      </w:pPr>
      <w:r>
        <w:t xml:space="preserve">Ambagan is a web application built with Next.js on the frontend and NestJS on the backend, integrated with the Stellar blockchain network for settlement, governance enforcement, and record-keeping. The initial release covers the full end-to-end flow of a single community savings group: group creation and configuration, member onboarding through invitation, recurring contributions, loan requests, community voting through multi-signature approval, disbursement, repayment tracking, interest distribution, credit scoring, default handling, and ledger export.</w:t>
      </w:r>
    </w:p>
    <w:p>
      <w:pPr>
        <w:spacing w:after="120" w:line="300"/>
      </w:pPr>
      <w:r>
        <w:t xml:space="preserve">A future mobile application built with Expo (React Native) is planned but is not part of the initial scope. Public group discovery, cross-group transfers, and integration with real fiat rails through licensed anchors are also outside the initial scope and are noted as future work.</w:t>
      </w:r>
    </w:p>
    <w:p>
      <w:pPr>
        <w:pStyle w:val="Heading2"/>
        <w:spacing w:after="140" w:before="280"/>
      </w:pPr>
      <w:r>
        <w:t xml:space="preserve">2.3 Definitions, Acronyms, and Abbreviations</w:t>
      </w:r>
    </w:p>
    <w:p>
      <w:pPr>
        <w:pStyle w:val="ListParagraph"/>
        <w:numPr>
          <w:ilvl w:val="0"/>
          <w:numId w:val="2"/>
        </w:numPr>
        <w:spacing w:after="80" w:line="300"/>
      </w:pPr>
      <w:r>
        <w:rPr>
          <w:b/>
          <w:bCs/>
        </w:rPr>
        <w:t xml:space="preserve">Ambagan — </w:t>
      </w:r>
      <w:r>
        <w:t xml:space="preserve">the Filipino word for pooling money together for a common purpose; also the name of this platform.</w:t>
      </w:r>
    </w:p>
    <w:p>
      <w:pPr>
        <w:pStyle w:val="ListParagraph"/>
        <w:numPr>
          <w:ilvl w:val="0"/>
          <w:numId w:val="2"/>
        </w:numPr>
        <w:spacing w:after="80" w:line="300"/>
      </w:pPr>
      <w:r>
        <w:rPr>
          <w:b/>
          <w:bCs/>
        </w:rPr>
        <w:t xml:space="preserve">Paluwagan — </w:t>
      </w:r>
      <w:r>
        <w:t xml:space="preserve">a traditional Filipino informal rotating savings and credit association.</w:t>
      </w:r>
    </w:p>
    <w:p>
      <w:pPr>
        <w:pStyle w:val="ListParagraph"/>
        <w:numPr>
          <w:ilvl w:val="0"/>
          <w:numId w:val="2"/>
        </w:numPr>
        <w:spacing w:after="80" w:line="300"/>
      </w:pPr>
      <w:r>
        <w:rPr>
          <w:b/>
          <w:bCs/>
        </w:rPr>
        <w:t xml:space="preserve">Group fund — </w:t>
      </w:r>
      <w:r>
        <w:t xml:space="preserve">the pooled money held collectively by a community savings group inside the platform.</w:t>
      </w:r>
    </w:p>
    <w:p>
      <w:pPr>
        <w:pStyle w:val="ListParagraph"/>
        <w:numPr>
          <w:ilvl w:val="0"/>
          <w:numId w:val="2"/>
        </w:numPr>
        <w:spacing w:after="80" w:line="300"/>
      </w:pPr>
      <w:r>
        <w:rPr>
          <w:b/>
          <w:bCs/>
        </w:rPr>
        <w:t xml:space="preserve">Multi-signature (multisig) — </w:t>
      </w:r>
      <w:r>
        <w:t xml:space="preserve">a mechanism where a transaction requires signatures from multiple authorized parties before it can execute.</w:t>
      </w:r>
    </w:p>
    <w:p>
      <w:pPr>
        <w:pStyle w:val="ListParagraph"/>
        <w:numPr>
          <w:ilvl w:val="0"/>
          <w:numId w:val="2"/>
        </w:numPr>
        <w:spacing w:after="80" w:line="300"/>
      </w:pPr>
      <w:r>
        <w:rPr>
          <w:b/>
          <w:bCs/>
        </w:rPr>
        <w:t xml:space="preserve">Stellar — </w:t>
      </w:r>
      <w:r>
        <w:t xml:space="preserve">an open-source blockchain network designed for financial applications.</w:t>
      </w:r>
    </w:p>
    <w:p>
      <w:pPr>
        <w:pStyle w:val="ListParagraph"/>
        <w:numPr>
          <w:ilvl w:val="0"/>
          <w:numId w:val="2"/>
        </w:numPr>
        <w:spacing w:after="80" w:line="300"/>
      </w:pPr>
      <w:r>
        <w:rPr>
          <w:b/>
          <w:bCs/>
        </w:rPr>
        <w:t xml:space="preserve">Soroban — </w:t>
      </w:r>
      <w:r>
        <w:t xml:space="preserve">Stellar's smart contract platform.</w:t>
      </w:r>
    </w:p>
    <w:p>
      <w:pPr>
        <w:pStyle w:val="ListParagraph"/>
        <w:numPr>
          <w:ilvl w:val="0"/>
          <w:numId w:val="2"/>
        </w:numPr>
        <w:spacing w:after="80" w:line="300"/>
      </w:pPr>
      <w:r>
        <w:rPr>
          <w:b/>
          <w:bCs/>
        </w:rPr>
        <w:t xml:space="preserve">Anchor — </w:t>
      </w:r>
      <w:r>
        <w:t xml:space="preserve">a licensed institution that bridges real-world fiat currency and Stellar-based digital assets.</w:t>
      </w:r>
    </w:p>
    <w:p>
      <w:pPr>
        <w:pStyle w:val="ListParagraph"/>
        <w:numPr>
          <w:ilvl w:val="0"/>
          <w:numId w:val="2"/>
        </w:numPr>
        <w:spacing w:after="80" w:line="300"/>
      </w:pPr>
      <w:r>
        <w:rPr>
          <w:b/>
          <w:bCs/>
        </w:rPr>
        <w:t xml:space="preserve">SEP — </w:t>
      </w:r>
      <w:r>
        <w:t xml:space="preserve">Stellar Ecosystem Proposal, the interoperability standards used across the Stellar network.</w:t>
      </w:r>
    </w:p>
    <w:p>
      <w:pPr>
        <w:pStyle w:val="ListParagraph"/>
        <w:numPr>
          <w:ilvl w:val="0"/>
          <w:numId w:val="2"/>
        </w:numPr>
        <w:spacing w:after="80" w:line="300"/>
      </w:pPr>
      <w:r>
        <w:rPr>
          <w:b/>
          <w:bCs/>
        </w:rPr>
        <w:t xml:space="preserve">Freighter — </w:t>
      </w:r>
      <w:r>
        <w:t xml:space="preserve">a browser extension wallet for Stellar.</w:t>
      </w:r>
    </w:p>
    <w:p>
      <w:pPr>
        <w:pStyle w:val="ListParagraph"/>
        <w:numPr>
          <w:ilvl w:val="0"/>
          <w:numId w:val="2"/>
        </w:numPr>
        <w:spacing w:after="80" w:line="300"/>
      </w:pPr>
      <w:r>
        <w:rPr>
          <w:b/>
          <w:bCs/>
        </w:rPr>
        <w:t xml:space="preserve">XLM — </w:t>
      </w:r>
      <w:r>
        <w:t xml:space="preserve">the native cryptocurrency of the Stellar network.</w:t>
      </w:r>
    </w:p>
    <w:p>
      <w:pPr>
        <w:pStyle w:val="ListParagraph"/>
        <w:numPr>
          <w:ilvl w:val="0"/>
          <w:numId w:val="2"/>
        </w:numPr>
        <w:spacing w:after="80" w:line="300"/>
      </w:pPr>
      <w:r>
        <w:rPr>
          <w:b/>
          <w:bCs/>
        </w:rPr>
        <w:t xml:space="preserve">MVP — </w:t>
      </w:r>
      <w:r>
        <w:t xml:space="preserve">Minimum Viable Product; the initial release scope.</w:t>
      </w:r>
    </w:p>
    <w:p>
      <w:pPr>
        <w:pStyle w:val="ListParagraph"/>
        <w:numPr>
          <w:ilvl w:val="0"/>
          <w:numId w:val="2"/>
        </w:numPr>
        <w:spacing w:after="80" w:line="300"/>
      </w:pPr>
      <w:r>
        <w:rPr>
          <w:b/>
          <w:bCs/>
        </w:rPr>
        <w:t xml:space="preserve">SRS — </w:t>
      </w:r>
      <w:r>
        <w:t xml:space="preserve">Software Requirements Specification.</w:t>
      </w:r>
    </w:p>
    <w:p>
      <w:pPr>
        <w:pStyle w:val="Heading2"/>
        <w:spacing w:after="140" w:before="280"/>
      </w:pPr>
      <w:r>
        <w:t xml:space="preserve">2.4 References</w:t>
      </w:r>
    </w:p>
    <w:p>
      <w:pPr>
        <w:pStyle w:val="ListParagraph"/>
        <w:numPr>
          <w:ilvl w:val="0"/>
          <w:numId w:val="2"/>
        </w:numPr>
        <w:spacing w:after="80" w:line="300"/>
      </w:pPr>
      <w:r>
        <w:t xml:space="preserve">Stellar Development Foundation. Stellar Documentation. https://developers.stellar.org/</w:t>
      </w:r>
    </w:p>
    <w:p>
      <w:pPr>
        <w:pStyle w:val="ListParagraph"/>
        <w:numPr>
          <w:ilvl w:val="0"/>
          <w:numId w:val="2"/>
        </w:numPr>
        <w:spacing w:after="80" w:line="300"/>
      </w:pPr>
      <w:r>
        <w:t xml:space="preserve">APAC Stellar Hackathon 2026 official brief.</w:t>
      </w:r>
    </w:p>
    <w:p>
      <w:pPr>
        <w:pStyle w:val="ListParagraph"/>
        <w:numPr>
          <w:ilvl w:val="0"/>
          <w:numId w:val="2"/>
        </w:numPr>
        <w:spacing w:after="80" w:line="300"/>
      </w:pPr>
      <w:r>
        <w:t xml:space="preserve">Republic Act No. 9520 — Philippine Cooperative Code.</w:t>
      </w:r>
    </w:p>
    <w:p>
      <w:pPr>
        <w:pStyle w:val="ListParagraph"/>
        <w:numPr>
          <w:ilvl w:val="0"/>
          <w:numId w:val="2"/>
        </w:numPr>
        <w:spacing w:after="80" w:line="300"/>
      </w:pPr>
      <w:r>
        <w:t xml:space="preserve">SEC Advisory on Paluwagan and Similar Schemes, 2022.</w:t>
      </w:r>
    </w:p>
    <w:p>
      <w:pPr>
        <w:pStyle w:val="Heading2"/>
        <w:spacing w:after="140" w:before="280"/>
      </w:pPr>
      <w:r>
        <w:t xml:space="preserve">2.5 Overview</w:t>
      </w:r>
    </w:p>
    <w:p>
      <w:pPr>
        <w:spacing w:after="120" w:line="300"/>
      </w:pPr>
      <w:r>
        <w:t xml:space="preserve">The remainder of this document is organized as follows. Section 3 provides an overall description of the system, its context, its users, and its assumptions. Section 4 presents the detailed functional requirements grouped by module. Section 5 covers non-functional requirements. Section 6 describes the system architecture. Section 7 details the Stellar blockchain integration. Section 8 specifies the default handling system. Section 9 lists what is deliberately out of scope for the initial release.</w:t>
      </w:r>
    </w:p>
    <w:p>
      <w:r>
        <w:br w:type="page"/>
      </w:r>
    </w:p>
    <w:p>
      <w:pPr>
        <w:pStyle w:val="Heading1"/>
        <w:spacing w:after="180" w:before="360"/>
      </w:pPr>
      <w:r>
        <w:t xml:space="preserve">3. Overall Description</w:t>
      </w:r>
    </w:p>
    <w:p>
      <w:pPr>
        <w:pStyle w:val="Heading2"/>
        <w:spacing w:after="140" w:before="280"/>
      </w:pPr>
      <w:r>
        <w:t xml:space="preserve">3.1 Product Perspective</w:t>
      </w:r>
    </w:p>
    <w:p>
      <w:pPr>
        <w:spacing w:after="120" w:line="300"/>
      </w:pPr>
      <w:r>
        <w:t xml:space="preserve">Ambagan is a new, standalone web application. It is not a component of any existing product line. It is designed to interoperate with the Stellar blockchain network for settlement and record-keeping, with the Freighter browser wallet for transaction signing, and with email delivery services for notifications. It does not depend on any existing paluwagan, banking, or fintech system to function.</w:t>
      </w:r>
    </w:p>
    <w:p>
      <w:pPr>
        <w:pStyle w:val="Heading2"/>
        <w:spacing w:after="140" w:before="280"/>
      </w:pPr>
      <w:r>
        <w:t xml:space="preserve">3.2 Product Functions</w:t>
      </w:r>
    </w:p>
    <w:p>
      <w:pPr>
        <w:spacing w:after="120" w:line="300"/>
      </w:pPr>
      <w:r>
        <w:t xml:space="preserve">The system provides the following high-level functions:</w:t>
      </w:r>
    </w:p>
    <w:p>
      <w:pPr>
        <w:pStyle w:val="ListParagraph"/>
        <w:numPr>
          <w:ilvl w:val="0"/>
          <w:numId w:val="2"/>
        </w:numPr>
        <w:spacing w:after="80" w:line="300"/>
      </w:pPr>
      <w:r>
        <w:t xml:space="preserve">Creation and configuration of private, invite-only community savings groups.</w:t>
      </w:r>
    </w:p>
    <w:p>
      <w:pPr>
        <w:pStyle w:val="ListParagraph"/>
        <w:numPr>
          <w:ilvl w:val="0"/>
          <w:numId w:val="2"/>
        </w:numPr>
        <w:spacing w:after="80" w:line="300"/>
      </w:pPr>
      <w:r>
        <w:t xml:space="preserve">Onboarding of new members through invite links and Stellar account association.</w:t>
      </w:r>
    </w:p>
    <w:p>
      <w:pPr>
        <w:pStyle w:val="ListParagraph"/>
        <w:numPr>
          <w:ilvl w:val="0"/>
          <w:numId w:val="2"/>
        </w:numPr>
        <w:spacing w:after="80" w:line="300"/>
      </w:pPr>
      <w:r>
        <w:t xml:space="preserve">Recurring contribution collection on a configurable cadence.</w:t>
      </w:r>
    </w:p>
    <w:p>
      <w:pPr>
        <w:pStyle w:val="ListParagraph"/>
        <w:numPr>
          <w:ilvl w:val="0"/>
          <w:numId w:val="2"/>
        </w:numPr>
        <w:spacing w:after="80" w:line="300"/>
      </w:pPr>
      <w:r>
        <w:t xml:space="preserve">Named group savings goals with target amounts and timelines.</w:t>
      </w:r>
    </w:p>
    <w:p>
      <w:pPr>
        <w:pStyle w:val="ListParagraph"/>
        <w:numPr>
          <w:ilvl w:val="0"/>
          <w:numId w:val="2"/>
        </w:numPr>
        <w:spacing w:after="80" w:line="300"/>
      </w:pPr>
      <w:r>
        <w:t xml:space="preserve">Submission of loan requests with amount, purpose tag, and repayment schedule.</w:t>
      </w:r>
    </w:p>
    <w:p>
      <w:pPr>
        <w:pStyle w:val="ListParagraph"/>
        <w:numPr>
          <w:ilvl w:val="0"/>
          <w:numId w:val="2"/>
        </w:numPr>
        <w:spacing w:after="80" w:line="300"/>
      </w:pPr>
      <w:r>
        <w:t xml:space="preserve">Community voting on loan requests through Stellar multi-signature.</w:t>
      </w:r>
    </w:p>
    <w:p>
      <w:pPr>
        <w:pStyle w:val="ListParagraph"/>
        <w:numPr>
          <w:ilvl w:val="0"/>
          <w:numId w:val="2"/>
        </w:numPr>
        <w:spacing w:after="80" w:line="300"/>
      </w:pPr>
      <w:r>
        <w:t xml:space="preserve">Automated loan disbursement upon approval.</w:t>
      </w:r>
    </w:p>
    <w:p>
      <w:pPr>
        <w:pStyle w:val="ListParagraph"/>
        <w:numPr>
          <w:ilvl w:val="0"/>
          <w:numId w:val="2"/>
        </w:numPr>
        <w:spacing w:after="80" w:line="300"/>
      </w:pPr>
      <w:r>
        <w:t xml:space="preserve">Repayment tracking with automated reminders.</w:t>
      </w:r>
    </w:p>
    <w:p>
      <w:pPr>
        <w:pStyle w:val="ListParagraph"/>
        <w:numPr>
          <w:ilvl w:val="0"/>
          <w:numId w:val="2"/>
        </w:numPr>
        <w:spacing w:after="80" w:line="300"/>
      </w:pPr>
      <w:r>
        <w:t xml:space="preserve">Interest distribution to all members proportional to contribution stake.</w:t>
      </w:r>
    </w:p>
    <w:p>
      <w:pPr>
        <w:pStyle w:val="ListParagraph"/>
        <w:numPr>
          <w:ilvl w:val="0"/>
          <w:numId w:val="2"/>
        </w:numPr>
        <w:spacing w:after="80" w:line="300"/>
      </w:pPr>
      <w:r>
        <w:t xml:space="preserve">Internal credit scoring based on member behavior.</w:t>
      </w:r>
    </w:p>
    <w:p>
      <w:pPr>
        <w:pStyle w:val="ListParagraph"/>
        <w:numPr>
          <w:ilvl w:val="0"/>
          <w:numId w:val="2"/>
        </w:numPr>
        <w:spacing w:after="80" w:line="300"/>
      </w:pPr>
      <w:r>
        <w:t xml:space="preserve">Structured, four-stage default handling with community-voted extensions.</w:t>
      </w:r>
    </w:p>
    <w:p>
      <w:pPr>
        <w:pStyle w:val="ListParagraph"/>
        <w:numPr>
          <w:ilvl w:val="0"/>
          <w:numId w:val="2"/>
        </w:numPr>
        <w:spacing w:after="80" w:line="300"/>
      </w:pPr>
      <w:r>
        <w:t xml:space="preserve">Contribution streak tracking and gamified engagement.</w:t>
      </w:r>
    </w:p>
    <w:p>
      <w:pPr>
        <w:pStyle w:val="ListParagraph"/>
        <w:numPr>
          <w:ilvl w:val="0"/>
          <w:numId w:val="2"/>
        </w:numPr>
        <w:spacing w:after="80" w:line="300"/>
      </w:pPr>
      <w:r>
        <w:t xml:space="preserve">A transparent, immutable ledger derived from the Stellar blockchain.</w:t>
      </w:r>
    </w:p>
    <w:p>
      <w:pPr>
        <w:pStyle w:val="ListParagraph"/>
        <w:numPr>
          <w:ilvl w:val="0"/>
          <w:numId w:val="2"/>
        </w:numPr>
        <w:spacing w:after="80" w:line="300"/>
      </w:pPr>
      <w:r>
        <w:t xml:space="preserve">Ledger export in PDF and CSV formats.</w:t>
      </w:r>
    </w:p>
    <w:p>
      <w:pPr>
        <w:pStyle w:val="Heading2"/>
        <w:spacing w:after="140" w:before="280"/>
      </w:pPr>
      <w:r>
        <w:t xml:space="preserve">3.3 User Classes and Characteristics</w:t>
      </w:r>
    </w:p>
    <w:p>
      <w:pPr>
        <w:spacing w:after="120" w:line="300"/>
      </w:pPr>
      <w:r>
        <w:t xml:space="preserve">The system recognizes three distinct user roles. All users are assumed to have basic smartphone or desktop web literacy and access to a stable internet connection.</w:t>
      </w:r>
    </w:p>
    <w:p>
      <w:pPr>
        <w:pStyle w:val="ListParagraph"/>
        <w:numPr>
          <w:ilvl w:val="0"/>
          <w:numId w:val="2"/>
        </w:numPr>
        <w:spacing w:after="80" w:line="300"/>
      </w:pPr>
      <w:r>
        <w:rPr>
          <w:b/>
          <w:bCs/>
        </w:rPr>
        <w:t xml:space="preserve">Group Administrator — </w:t>
      </w:r>
      <w:r>
        <w:t xml:space="preserve">the user who creates a group. They configure contribution amounts, cadences, interest rate ceilings, and savings goals; they invite members; they act on default escalations; they can export the group's ledger. There is one administrator per group at launch.</w:t>
      </w:r>
    </w:p>
    <w:p>
      <w:pPr>
        <w:pStyle w:val="ListParagraph"/>
        <w:numPr>
          <w:ilvl w:val="0"/>
          <w:numId w:val="2"/>
        </w:numPr>
        <w:spacing w:after="80" w:line="300"/>
      </w:pPr>
      <w:r>
        <w:rPr>
          <w:b/>
          <w:bCs/>
        </w:rPr>
        <w:t xml:space="preserve">Member — </w:t>
      </w:r>
      <w:r>
        <w:t xml:space="preserve">any user who has joined a group. Members contribute regularly, view the ledger, vote on loan requests, request loans, and receive interest distributions. A member and an administrator are functionally the same role with the administrator having additional configuration privileges.</w:t>
      </w:r>
    </w:p>
    <w:p>
      <w:pPr>
        <w:pStyle w:val="ListParagraph"/>
        <w:numPr>
          <w:ilvl w:val="0"/>
          <w:numId w:val="2"/>
        </w:numPr>
        <w:spacing w:after="80" w:line="300"/>
      </w:pPr>
      <w:r>
        <w:rPr>
          <w:b/>
          <w:bCs/>
        </w:rPr>
        <w:t xml:space="preserve">Borrower — </w:t>
      </w:r>
      <w:r>
        <w:t xml:space="preserve">any member who currently has an active or defaulted loan. Borrower is a contextual state, not a separate account type.</w:t>
      </w:r>
    </w:p>
    <w:p>
      <w:pPr>
        <w:pStyle w:val="Heading2"/>
        <w:spacing w:after="140" w:before="280"/>
      </w:pPr>
      <w:r>
        <w:t xml:space="preserve">3.4 Operating Environment</w:t>
      </w:r>
    </w:p>
    <w:p>
      <w:pPr>
        <w:spacing w:after="120" w:line="300"/>
      </w:pPr>
      <w:r>
        <w:t xml:space="preserve">The web application runs in modern desktop and mobile browsers. The primary supported browsers are Chrome, Edge, Firefox, and Safari in recent versions. The Freighter wallet requires a Chromium-based browser or Firefox. The Ambagan backend runs on a cloud server (containerized deployment). The Stellar network operates on its public testnet during the hackathon phase, with mainnet deployment planned for post-hackathon production.</w:t>
      </w:r>
    </w:p>
    <w:p>
      <w:pPr>
        <w:pStyle w:val="Heading2"/>
        <w:spacing w:after="140" w:before="280"/>
      </w:pPr>
      <w:r>
        <w:t xml:space="preserve">3.5 Design and Implementation Constraints</w:t>
      </w:r>
    </w:p>
    <w:p>
      <w:pPr>
        <w:pStyle w:val="ListParagraph"/>
        <w:numPr>
          <w:ilvl w:val="0"/>
          <w:numId w:val="2"/>
        </w:numPr>
        <w:spacing w:after="80" w:line="300"/>
      </w:pPr>
      <w:r>
        <w:rPr>
          <w:b/>
          <w:bCs/>
        </w:rPr>
        <w:t xml:space="preserve">Blockchain dependency — </w:t>
      </w:r>
      <w:r>
        <w:t xml:space="preserve">the system depends on the availability of the Stellar network. Extended Stellar network outages would prevent contributions, disbursements, and voting.</w:t>
      </w:r>
    </w:p>
    <w:p>
      <w:pPr>
        <w:pStyle w:val="ListParagraph"/>
        <w:numPr>
          <w:ilvl w:val="0"/>
          <w:numId w:val="2"/>
        </w:numPr>
        <w:spacing w:after="80" w:line="300"/>
      </w:pPr>
      <w:r>
        <w:rPr>
          <w:b/>
          <w:bCs/>
        </w:rPr>
        <w:t xml:space="preserve">Wallet requirement — </w:t>
      </w:r>
      <w:r>
        <w:t xml:space="preserve">members must have a Stellar account. For MVP, custodial keys managed by the platform are the default, with an option to bring a Freighter-managed account.</w:t>
      </w:r>
    </w:p>
    <w:p>
      <w:pPr>
        <w:pStyle w:val="ListParagraph"/>
        <w:numPr>
          <w:ilvl w:val="0"/>
          <w:numId w:val="2"/>
        </w:numPr>
        <w:spacing w:after="80" w:line="300"/>
      </w:pPr>
      <w:r>
        <w:rPr>
          <w:b/>
          <w:bCs/>
        </w:rPr>
        <w:t xml:space="preserve">Regulatory posture — </w:t>
      </w:r>
      <w:r>
        <w:t xml:space="preserve">the platform operates under the private and informal regulatory path. Groups are strictly invite-only. No public advertising of lending services is permitted.</w:t>
      </w:r>
    </w:p>
    <w:p>
      <w:pPr>
        <w:pStyle w:val="ListParagraph"/>
        <w:numPr>
          <w:ilvl w:val="0"/>
          <w:numId w:val="2"/>
        </w:numPr>
        <w:spacing w:after="80" w:line="300"/>
      </w:pPr>
      <w:r>
        <w:rPr>
          <w:b/>
          <w:bCs/>
        </w:rPr>
        <w:t xml:space="preserve">No real money in MVP — </w:t>
      </w:r>
      <w:r>
        <w:t xml:space="preserve">for the hackathon, all transactions occur on Stellar testnet with a custom-issued test asset. No real Philippine pesos move through the system during the hackathon phase.</w:t>
      </w:r>
    </w:p>
    <w:p>
      <w:pPr>
        <w:pStyle w:val="Heading2"/>
        <w:spacing w:after="140" w:before="280"/>
      </w:pPr>
      <w:r>
        <w:t xml:space="preserve">3.6 Assumptions and Dependencies</w:t>
      </w:r>
    </w:p>
    <w:p>
      <w:pPr>
        <w:pStyle w:val="ListParagraph"/>
        <w:numPr>
          <w:ilvl w:val="0"/>
          <w:numId w:val="2"/>
        </w:numPr>
        <w:spacing w:after="80" w:line="300"/>
      </w:pPr>
      <w:r>
        <w:t xml:space="preserve">Users have existing social trust with the other members of their group before joining. The platform does not attempt to bootstrap trust between strangers.</w:t>
      </w:r>
    </w:p>
    <w:p>
      <w:pPr>
        <w:pStyle w:val="ListParagraph"/>
        <w:numPr>
          <w:ilvl w:val="0"/>
          <w:numId w:val="2"/>
        </w:numPr>
        <w:spacing w:after="80" w:line="300"/>
      </w:pPr>
      <w:r>
        <w:t xml:space="preserve">Users have access to a modern web browser and stable internet.</w:t>
      </w:r>
    </w:p>
    <w:p>
      <w:pPr>
        <w:pStyle w:val="ListParagraph"/>
        <w:numPr>
          <w:ilvl w:val="0"/>
          <w:numId w:val="2"/>
        </w:numPr>
        <w:spacing w:after="80" w:line="300"/>
      </w:pPr>
      <w:r>
        <w:t xml:space="preserve">The Stellar testnet remains operational and accessible throughout the demonstration period.</w:t>
      </w:r>
    </w:p>
    <w:p>
      <w:pPr>
        <w:pStyle w:val="ListParagraph"/>
        <w:numPr>
          <w:ilvl w:val="0"/>
          <w:numId w:val="2"/>
        </w:numPr>
        <w:spacing w:after="80" w:line="300"/>
      </w:pPr>
      <w:r>
        <w:t xml:space="preserve">Email delivery services remain reliable for notification delivery.</w:t>
      </w:r>
    </w:p>
    <w:p>
      <w:pPr>
        <w:pStyle w:val="ListParagraph"/>
        <w:numPr>
          <w:ilvl w:val="0"/>
          <w:numId w:val="2"/>
        </w:numPr>
        <w:spacing w:after="80" w:line="300"/>
      </w:pPr>
      <w:r>
        <w:t xml:space="preserve">Group administrators act in good faith. The platform mitigates but does not fully eliminate administrator misbehavior.</w:t>
      </w:r>
    </w:p>
    <w:p>
      <w:r>
        <w:br w:type="page"/>
      </w:r>
    </w:p>
    <w:p>
      <w:pPr>
        <w:pStyle w:val="Heading1"/>
        <w:spacing w:after="180" w:before="360"/>
      </w:pPr>
      <w:r>
        <w:t xml:space="preserve">4. Functional Requirements</w:t>
      </w:r>
    </w:p>
    <w:p>
      <w:pPr>
        <w:spacing w:after="120" w:line="300"/>
      </w:pPr>
      <w:r>
        <w:t xml:space="preserve">This section specifies the detailed functional requirements grouped by module. Each requirement is uniquely identified and describes a specific system behavior.</w:t>
      </w:r>
    </w:p>
    <w:p>
      <w:pPr>
        <w:pStyle w:val="Heading2"/>
        <w:spacing w:after="140" w:before="280"/>
      </w:pPr>
      <w:r>
        <w:t xml:space="preserve">4.1 Group Management</w:t>
      </w:r>
    </w:p>
    <w:p>
      <w:pPr>
        <w:pStyle w:val="Heading3"/>
        <w:spacing w:after="120" w:before="220"/>
      </w:pPr>
      <w:r>
        <w:t xml:space="preserve">FR-GM-01 Group Creation</w:t>
      </w:r>
    </w:p>
    <w:p>
      <w:pPr>
        <w:spacing w:after="120" w:line="300"/>
      </w:pPr>
      <w:r>
        <w:t xml:space="preserve">The system shall allow an authenticated user to create a new community savings group. The user becomes the group administrator. Required inputs are: group name, group purpose or description, contribution amount, contribution cadence (weekly, biweekly, or monthly), interest rate for loans (within a platform-enforced ceiling), and an optional savings goal with target amount and target date.</w:t>
      </w:r>
    </w:p>
    <w:p>
      <w:pPr>
        <w:pStyle w:val="Heading3"/>
        <w:spacing w:after="120" w:before="220"/>
      </w:pPr>
      <w:r>
        <w:t xml:space="preserve">FR-GM-02 Invite Link Generation</w:t>
      </w:r>
    </w:p>
    <w:p>
      <w:pPr>
        <w:spacing w:after="120" w:line="300"/>
      </w:pPr>
      <w:r>
        <w:t xml:space="preserve">The system shall generate a unique, revocable invite link for each group. The administrator shares this link out-of-band. Members join the group only through valid invite links. The system shall not expose group membership or group activity through any public search or listing.</w:t>
      </w:r>
    </w:p>
    <w:p>
      <w:pPr>
        <w:pStyle w:val="Heading3"/>
        <w:spacing w:after="120" w:before="220"/>
      </w:pPr>
      <w:r>
        <w:t xml:space="preserve">FR-GM-03 Member Onboarding</w:t>
      </w:r>
    </w:p>
    <w:p>
      <w:pPr>
        <w:spacing w:after="120" w:line="300"/>
      </w:pPr>
      <w:r>
        <w:t xml:space="preserve">A new user accepting an invite link shall be prompted to create an account, associate a Stellar account (either custodial or Freighter-linked), and confirm their intent to join. The administrator receives a notification when a member joins.</w:t>
      </w:r>
    </w:p>
    <w:p>
      <w:pPr>
        <w:pStyle w:val="Heading3"/>
        <w:spacing w:after="120" w:before="220"/>
      </w:pPr>
      <w:r>
        <w:t xml:space="preserve">FR-GM-04 Group Configuration Updates</w:t>
      </w:r>
    </w:p>
    <w:p>
      <w:pPr>
        <w:spacing w:after="120" w:line="300"/>
      </w:pPr>
      <w:r>
        <w:t xml:space="preserve">The administrator shall be able to update group configuration parameters. Certain parameters — contribution amount, cadence, interest rate — require a majority approval vote from members before taking effect. Cosmetic parameters — group name, description, savings goal — may be updated by the administrator alone.</w:t>
      </w:r>
    </w:p>
    <w:p>
      <w:pPr>
        <w:pStyle w:val="Heading3"/>
        <w:spacing w:after="120" w:before="220"/>
      </w:pPr>
      <w:r>
        <w:t xml:space="preserve">FR-GM-05 Ledger Export</w:t>
      </w:r>
    </w:p>
    <w:p>
      <w:pPr>
        <w:spacing w:after="120" w:line="300"/>
      </w:pPr>
      <w:r>
        <w:t xml:space="preserve">The administrator shall be able to export the full group ledger in PDF format (formatted for printing and treasury reporting) and CSV format (for spreadsheet analysis). Exports include all contributions, disbursements, repayments, votes, and interest distributions with timestamps and Stellar transaction hashes.</w:t>
      </w:r>
    </w:p>
    <w:p>
      <w:pPr>
        <w:pStyle w:val="Heading2"/>
        <w:spacing w:after="140" w:before="280"/>
      </w:pPr>
      <w:r>
        <w:t xml:space="preserve">4.2 Contributions and Savings</w:t>
      </w:r>
    </w:p>
    <w:p>
      <w:pPr>
        <w:pStyle w:val="Heading3"/>
        <w:spacing w:after="120" w:before="220"/>
      </w:pPr>
      <w:r>
        <w:t xml:space="preserve">FR-CS-01 Contribution Submission</w:t>
      </w:r>
    </w:p>
    <w:p>
      <w:pPr>
        <w:spacing w:after="120" w:line="300"/>
      </w:pPr>
      <w:r>
        <w:t xml:space="preserve">Each member shall be able to submit their scheduled contribution to the group fund on or before the due date. A submitted contribution triggers a Stellar transaction from the member's account to the group fund account. The transaction is recorded on the blockchain and reflected in the ledger view.</w:t>
      </w:r>
    </w:p>
    <w:p>
      <w:pPr>
        <w:pStyle w:val="Heading3"/>
        <w:spacing w:after="120" w:before="220"/>
      </w:pPr>
      <w:r>
        <w:t xml:space="preserve">FR-CS-02 Contribution Reminders</w:t>
      </w:r>
    </w:p>
    <w:p>
      <w:pPr>
        <w:spacing w:after="120" w:line="300"/>
      </w:pPr>
      <w:r>
        <w:t xml:space="preserve">The system shall send email notifications to members three days before their contribution due date, on the due date, and three days after the due date if unpaid.</w:t>
      </w:r>
    </w:p>
    <w:p>
      <w:pPr>
        <w:pStyle w:val="Heading3"/>
        <w:spacing w:after="120" w:before="220"/>
      </w:pPr>
      <w:r>
        <w:t xml:space="preserve">FR-CS-03 Contribution Status Tracking</w:t>
      </w:r>
    </w:p>
    <w:p>
      <w:pPr>
        <w:spacing w:after="120" w:line="300"/>
      </w:pPr>
      <w:r>
        <w:t xml:space="preserve">The system shall display the current contribution cycle status to all members, showing which members have paid, which are pending, and which are overdue. This transparency is intentional.</w:t>
      </w:r>
    </w:p>
    <w:p>
      <w:pPr>
        <w:pStyle w:val="Heading3"/>
        <w:spacing w:after="120" w:before="220"/>
      </w:pPr>
      <w:r>
        <w:t xml:space="preserve">FR-CS-04 Contribution Streaks</w:t>
      </w:r>
    </w:p>
    <w:p>
      <w:pPr>
        <w:spacing w:after="120" w:line="300"/>
      </w:pPr>
      <w:r>
        <w:t xml:space="preserve">The system shall track consecutive on-time contributions for each member and display a visible streak counter on the member's profile. Streak milestones (3, 6, 12 months) award visible badges. Streaks are recognition-only and do not confer material privileges beyond credit score influence.</w:t>
      </w:r>
    </w:p>
    <w:p>
      <w:pPr>
        <w:pStyle w:val="Heading3"/>
        <w:spacing w:after="120" w:before="220"/>
      </w:pPr>
      <w:r>
        <w:t xml:space="preserve">FR-CS-05 Savings Goals</w:t>
      </w:r>
    </w:p>
    <w:p>
      <w:pPr>
        <w:spacing w:after="120" w:line="300"/>
      </w:pPr>
      <w:r>
        <w:t xml:space="preserve">Each group may have an active named savings goal with a target amount and target date. The system shall display fund progress toward the goal on the group dashboard as a visual progress indicator with time remaining.</w:t>
      </w:r>
    </w:p>
    <w:p>
      <w:pPr>
        <w:pStyle w:val="Heading2"/>
        <w:spacing w:after="140" w:before="280"/>
      </w:pPr>
      <w:r>
        <w:t xml:space="preserve">4.3 Loan Requests and Voting</w:t>
      </w:r>
    </w:p>
    <w:p>
      <w:pPr>
        <w:pStyle w:val="Heading3"/>
        <w:spacing w:after="120" w:before="220"/>
      </w:pPr>
      <w:r>
        <w:t xml:space="preserve">FR-LR-01 Loan Request Submission</w:t>
      </w:r>
    </w:p>
    <w:p>
      <w:pPr>
        <w:spacing w:after="120" w:line="300"/>
      </w:pPr>
      <w:r>
        <w:t xml:space="preserve">A member shall be able to submit a loan request specifying the amount, a required purpose tag (Emergency, Education, Livelihood, Health, or Other), a short free-text description, and a proposed repayment timeline. The system shall validate that the requested amount does not exceed the member's platform-enforced loan ceiling based on their credit score and contribution history.</w:t>
      </w:r>
    </w:p>
    <w:p>
      <w:pPr>
        <w:pStyle w:val="Heading3"/>
        <w:spacing w:after="120" w:before="220"/>
      </w:pPr>
      <w:r>
        <w:t xml:space="preserve">FR-LR-02 Community Voting</w:t>
      </w:r>
    </w:p>
    <w:p>
      <w:pPr>
        <w:spacing w:after="120" w:line="300"/>
      </w:pPr>
      <w:r>
        <w:t xml:space="preserve">Upon submission, the loan request enters an active voting state visible to all group members. Members cast their vote — approve or deny — through the platform. Each vote is cryptographically signed by the member's Stellar account, contributing to the multi-signature transaction that would release the funds. The voting window is time-boxed to 72 hours.</w:t>
      </w:r>
    </w:p>
    <w:p>
      <w:pPr>
        <w:pStyle w:val="Heading3"/>
        <w:spacing w:after="120" w:before="220"/>
      </w:pPr>
      <w:r>
        <w:t xml:space="preserve">FR-LR-03 Vote Threshold</w:t>
      </w:r>
    </w:p>
    <w:p>
      <w:pPr>
        <w:spacing w:after="120" w:line="300"/>
      </w:pPr>
      <w:r>
        <w:t xml:space="preserve">The default approval threshold is a simple majority of the group's members. The administrator may configure this threshold to two-thirds or unanimous at group creation. A request that meets the threshold before the voting window closes is immediately approved. A request that fails to meet the threshold when the window closes is denied.</w:t>
      </w:r>
    </w:p>
    <w:p>
      <w:pPr>
        <w:pStyle w:val="Heading3"/>
        <w:spacing w:after="120" w:before="220"/>
      </w:pPr>
      <w:r>
        <w:t xml:space="preserve">FR-LR-04 Loan Disbursement</w:t>
      </w:r>
    </w:p>
    <w:p>
      <w:pPr>
        <w:spacing w:after="120" w:line="300"/>
      </w:pPr>
      <w:r>
        <w:t xml:space="preserve">Upon approval, the disbursement transaction — pre-signed by the approving members — is submitted to the Stellar network. Funds move from the group account to the borrower's account. The system generates the repayment schedule based on the agreed timeline.</w:t>
      </w:r>
    </w:p>
    <w:p>
      <w:pPr>
        <w:pStyle w:val="Heading3"/>
        <w:spacing w:after="120" w:before="220"/>
      </w:pPr>
      <w:r>
        <w:t xml:space="preserve">FR-LR-05 Repayment Scheduling</w:t>
      </w:r>
    </w:p>
    <w:p>
      <w:pPr>
        <w:spacing w:after="120" w:line="300"/>
      </w:pPr>
      <w:r>
        <w:t xml:space="preserve">The system shall generate a repayment calendar for each active loan showing due dates, principal, interest, and remaining balance. Automated email reminders are sent three days before each repayment due date.</w:t>
      </w:r>
    </w:p>
    <w:p>
      <w:pPr>
        <w:pStyle w:val="Heading3"/>
        <w:spacing w:after="120" w:before="220"/>
      </w:pPr>
      <w:r>
        <w:t xml:space="preserve">FR-LR-06 Interest Distribution</w:t>
      </w:r>
    </w:p>
    <w:p>
      <w:pPr>
        <w:spacing w:after="120" w:line="300"/>
      </w:pPr>
      <w:r>
        <w:t xml:space="preserve">Interest paid by borrowers is distributed to all group members proportionally to their total contribution stake at the time of distribution. Distribution is executed by a Soroban smart contract and recorded on-chain. Members can see their earned interest on their profile.</w:t>
      </w:r>
    </w:p>
    <w:p>
      <w:pPr>
        <w:pStyle w:val="Heading2"/>
        <w:spacing w:after="140" w:before="280"/>
      </w:pPr>
      <w:r>
        <w:t xml:space="preserve">4.4 Credit Scoring</w:t>
      </w:r>
    </w:p>
    <w:p>
      <w:pPr>
        <w:pStyle w:val="Heading3"/>
        <w:spacing w:after="120" w:before="220"/>
      </w:pPr>
      <w:r>
        <w:t xml:space="preserve">FR-CR-01 Score Calculation</w:t>
      </w:r>
    </w:p>
    <w:p>
      <w:pPr>
        <w:spacing w:after="120" w:line="300"/>
      </w:pPr>
      <w:r>
        <w:t xml:space="preserve">The system shall maintain an internal credit score for each member computed from: contribution consistency, contribution timeliness, repayment history on prior loans, current default status, and total time as a group member. The score ranges from 0 to 1000 and is displayed to the member on their profile.</w:t>
      </w:r>
    </w:p>
    <w:p>
      <w:pPr>
        <w:pStyle w:val="Heading3"/>
        <w:spacing w:after="120" w:before="220"/>
      </w:pPr>
      <w:r>
        <w:t xml:space="preserve">FR-CR-02 Loan Eligibility Gating</w:t>
      </w:r>
    </w:p>
    <w:p>
      <w:pPr>
        <w:spacing w:after="120" w:line="300"/>
      </w:pPr>
      <w:r>
        <w:t xml:space="preserve">The maximum loan amount a member may request is a function of their credit score and total contributions to date. Members with a score below the platform minimum cannot request loans. Members with defaults on record have their score reduced and their eligibility restricted until the default is resolved.</w:t>
      </w:r>
    </w:p>
    <w:p>
      <w:pPr>
        <w:pStyle w:val="Heading3"/>
        <w:spacing w:after="120" w:before="220"/>
      </w:pPr>
      <w:r>
        <w:t xml:space="preserve">FR-CR-03 Score Visibility</w:t>
      </w:r>
    </w:p>
    <w:p>
      <w:pPr>
        <w:spacing w:after="120" w:line="300"/>
      </w:pPr>
      <w:r>
        <w:t xml:space="preserve">A member's credit score is visible to that member and, in an abbreviated form (e.g., a letter grade), to other group members during loan vote deliberation. This gives the group context for voting decisions.</w:t>
      </w:r>
    </w:p>
    <w:p>
      <w:pPr>
        <w:pStyle w:val="Heading2"/>
        <w:spacing w:after="140" w:before="280"/>
      </w:pPr>
      <w:r>
        <w:t xml:space="preserve">4.5 Ledger and Transparency</w:t>
      </w:r>
    </w:p>
    <w:p>
      <w:pPr>
        <w:pStyle w:val="Heading3"/>
        <w:spacing w:after="120" w:before="220"/>
      </w:pPr>
      <w:r>
        <w:t xml:space="preserve">FR-LT-01 Ledger View</w:t>
      </w:r>
    </w:p>
    <w:p>
      <w:pPr>
        <w:spacing w:after="120" w:line="300"/>
      </w:pPr>
      <w:r>
        <w:t xml:space="preserve">The system shall provide all group members with a chronological, filterable view of every group transaction: contributions, loan disbursements, repayments, interest distributions, and default records. Each entry includes the amount, involved parties, timestamp, and a link to the Stellar transaction on a public blockchain explorer.</w:t>
      </w:r>
    </w:p>
    <w:p>
      <w:pPr>
        <w:pStyle w:val="Heading3"/>
        <w:spacing w:after="120" w:before="220"/>
      </w:pPr>
      <w:r>
        <w:t xml:space="preserve">FR-LT-02 Ledger Immutability</w:t>
      </w:r>
    </w:p>
    <w:p>
      <w:pPr>
        <w:spacing w:after="120" w:line="300"/>
      </w:pPr>
      <w:r>
        <w:t xml:space="preserve">Ledger entries derive from the Stellar blockchain and cannot be edited, deleted, or falsified by the platform administrator or any user. This is enforced at the protocol level by the underlying blockchain.</w:t>
      </w:r>
    </w:p>
    <w:p>
      <w:pPr>
        <w:pStyle w:val="Heading3"/>
        <w:spacing w:after="120" w:before="220"/>
      </w:pPr>
      <w:r>
        <w:t xml:space="preserve">FR-LT-03 Individual Member Ledger</w:t>
      </w:r>
    </w:p>
    <w:p>
      <w:pPr>
        <w:spacing w:after="120" w:line="300"/>
      </w:pPr>
      <w:r>
        <w:t xml:space="preserve">Each member shall have a personal ledger view showing their own contributions, loans, repayments, and interest earnings, along with cumulative totals.</w:t>
      </w:r>
    </w:p>
    <w:p>
      <w:r>
        <w:br w:type="page"/>
      </w:r>
    </w:p>
    <w:p>
      <w:pPr>
        <w:pStyle w:val="Heading1"/>
        <w:spacing w:after="180" w:before="360"/>
      </w:pPr>
      <w:r>
        <w:t xml:space="preserve">5. Non-Functional Requirements</w:t>
      </w:r>
    </w:p>
    <w:p>
      <w:pPr>
        <w:pStyle w:val="Heading2"/>
        <w:spacing w:after="140" w:before="280"/>
      </w:pPr>
      <w:r>
        <w:t xml:space="preserve">5.1 Performance</w:t>
      </w:r>
    </w:p>
    <w:p>
      <w:pPr>
        <w:pStyle w:val="ListParagraph"/>
        <w:numPr>
          <w:ilvl w:val="0"/>
          <w:numId w:val="2"/>
        </w:numPr>
        <w:spacing w:after="80" w:line="300"/>
      </w:pPr>
      <w:r>
        <w:t xml:space="preserve">The web application shall load its primary views (dashboard, group view, ledger) within 3 seconds on a standard broadband connection.</w:t>
      </w:r>
    </w:p>
    <w:p>
      <w:pPr>
        <w:pStyle w:val="ListParagraph"/>
        <w:numPr>
          <w:ilvl w:val="0"/>
          <w:numId w:val="2"/>
        </w:numPr>
        <w:spacing w:after="80" w:line="300"/>
      </w:pPr>
      <w:r>
        <w:t xml:space="preserve">Stellar transaction submission shall complete within the network's standard finality window (approximately 5 seconds).</w:t>
      </w:r>
    </w:p>
    <w:p>
      <w:pPr>
        <w:pStyle w:val="ListParagraph"/>
        <w:numPr>
          <w:ilvl w:val="0"/>
          <w:numId w:val="2"/>
        </w:numPr>
        <w:spacing w:after="80" w:line="300"/>
      </w:pPr>
      <w:r>
        <w:t xml:space="preserve">The system shall support up to 50 concurrent members per group without performance degradation.</w:t>
      </w:r>
    </w:p>
    <w:p>
      <w:pPr>
        <w:pStyle w:val="Heading2"/>
        <w:spacing w:after="140" w:before="280"/>
      </w:pPr>
      <w:r>
        <w:t xml:space="preserve">5.2 Security</w:t>
      </w:r>
    </w:p>
    <w:p>
      <w:pPr>
        <w:pStyle w:val="ListParagraph"/>
        <w:numPr>
          <w:ilvl w:val="0"/>
          <w:numId w:val="2"/>
        </w:numPr>
        <w:spacing w:after="80" w:line="300"/>
      </w:pPr>
      <w:r>
        <w:t xml:space="preserve">All web traffic is served over HTTPS with TLS 1.3 or higher.</w:t>
      </w:r>
    </w:p>
    <w:p>
      <w:pPr>
        <w:pStyle w:val="ListParagraph"/>
        <w:numPr>
          <w:ilvl w:val="0"/>
          <w:numId w:val="2"/>
        </w:numPr>
        <w:spacing w:after="80" w:line="300"/>
      </w:pPr>
      <w:r>
        <w:t xml:space="preserve">User passwords are hashed using bcrypt or Argon2.</w:t>
      </w:r>
    </w:p>
    <w:p>
      <w:pPr>
        <w:pStyle w:val="ListParagraph"/>
        <w:numPr>
          <w:ilvl w:val="0"/>
          <w:numId w:val="2"/>
        </w:numPr>
        <w:spacing w:after="80" w:line="300"/>
      </w:pPr>
      <w:r>
        <w:t xml:space="preserve">For custodial Stellar accounts, private keys are encrypted at rest using industry-standard symmetric encryption.</w:t>
      </w:r>
    </w:p>
    <w:p>
      <w:pPr>
        <w:pStyle w:val="ListParagraph"/>
        <w:numPr>
          <w:ilvl w:val="0"/>
          <w:numId w:val="2"/>
        </w:numPr>
        <w:spacing w:after="80" w:line="300"/>
      </w:pPr>
      <w:r>
        <w:t xml:space="preserve">Session tokens follow secure cookie best practices with HttpOnly and SameSite attributes.</w:t>
      </w:r>
    </w:p>
    <w:p>
      <w:pPr>
        <w:pStyle w:val="ListParagraph"/>
        <w:numPr>
          <w:ilvl w:val="0"/>
          <w:numId w:val="2"/>
        </w:numPr>
        <w:spacing w:after="80" w:line="300"/>
      </w:pPr>
      <w:r>
        <w:t xml:space="preserve">Rate limiting is applied to authentication endpoints to prevent brute-force attacks.</w:t>
      </w:r>
    </w:p>
    <w:p>
      <w:pPr>
        <w:pStyle w:val="Heading2"/>
        <w:spacing w:after="140" w:before="280"/>
      </w:pPr>
      <w:r>
        <w:t xml:space="preserve">5.3 Reliability and Availability</w:t>
      </w:r>
    </w:p>
    <w:p>
      <w:pPr>
        <w:pStyle w:val="ListParagraph"/>
        <w:numPr>
          <w:ilvl w:val="0"/>
          <w:numId w:val="2"/>
        </w:numPr>
        <w:spacing w:after="80" w:line="300"/>
      </w:pPr>
      <w:r>
        <w:t xml:space="preserve">The application backend shall target 99.5% uptime during the hackathon demonstration period.</w:t>
      </w:r>
    </w:p>
    <w:p>
      <w:pPr>
        <w:pStyle w:val="ListParagraph"/>
        <w:numPr>
          <w:ilvl w:val="0"/>
          <w:numId w:val="2"/>
        </w:numPr>
        <w:spacing w:after="80" w:line="300"/>
      </w:pPr>
      <w:r>
        <w:t xml:space="preserve">The system shall gracefully handle Stellar network unavailability, queuing transactions for retry when the network is available again.</w:t>
      </w:r>
    </w:p>
    <w:p>
      <w:pPr>
        <w:pStyle w:val="ListParagraph"/>
        <w:numPr>
          <w:ilvl w:val="0"/>
          <w:numId w:val="2"/>
        </w:numPr>
        <w:spacing w:after="80" w:line="300"/>
      </w:pPr>
      <w:r>
        <w:t xml:space="preserve">Failed email deliveries shall be retried up to three times with exponential backoff.</w:t>
      </w:r>
    </w:p>
    <w:p>
      <w:pPr>
        <w:pStyle w:val="Heading2"/>
        <w:spacing w:after="140" w:before="280"/>
      </w:pPr>
      <w:r>
        <w:t xml:space="preserve">5.4 Usability</w:t>
      </w:r>
    </w:p>
    <w:p>
      <w:pPr>
        <w:pStyle w:val="ListParagraph"/>
        <w:numPr>
          <w:ilvl w:val="0"/>
          <w:numId w:val="2"/>
        </w:numPr>
        <w:spacing w:after="80" w:line="300"/>
      </w:pPr>
      <w:r>
        <w:t xml:space="preserve">The application shall be fully functional on both desktop and mobile browsers.</w:t>
      </w:r>
    </w:p>
    <w:p>
      <w:pPr>
        <w:pStyle w:val="ListParagraph"/>
        <w:numPr>
          <w:ilvl w:val="0"/>
          <w:numId w:val="2"/>
        </w:numPr>
        <w:spacing w:after="80" w:line="300"/>
      </w:pPr>
      <w:r>
        <w:t xml:space="preserve">Blockchain terminology is minimized in user-facing copy. Users see Filipino-language concepts (contribution, loan, vote, streak), not technical crypto vocabulary.</w:t>
      </w:r>
    </w:p>
    <w:p>
      <w:pPr>
        <w:pStyle w:val="ListParagraph"/>
        <w:numPr>
          <w:ilvl w:val="0"/>
          <w:numId w:val="2"/>
        </w:numPr>
        <w:spacing w:after="80" w:line="300"/>
      </w:pPr>
      <w:r>
        <w:t xml:space="preserve">Critical actions — contributions, votes, disbursement confirmations — require explicit confirmation before submission.</w:t>
      </w:r>
    </w:p>
    <w:p>
      <w:pPr>
        <w:pStyle w:val="Heading2"/>
        <w:spacing w:after="140" w:before="280"/>
      </w:pPr>
      <w:r>
        <w:t xml:space="preserve">5.5 Maintainability</w:t>
      </w:r>
    </w:p>
    <w:p>
      <w:pPr>
        <w:pStyle w:val="ListParagraph"/>
        <w:numPr>
          <w:ilvl w:val="0"/>
          <w:numId w:val="2"/>
        </w:numPr>
        <w:spacing w:after="80" w:line="300"/>
      </w:pPr>
      <w:r>
        <w:t xml:space="preserve">The codebase follows established conventions for Next.js and NestJS projects.</w:t>
      </w:r>
    </w:p>
    <w:p>
      <w:pPr>
        <w:pStyle w:val="ListParagraph"/>
        <w:numPr>
          <w:ilvl w:val="0"/>
          <w:numId w:val="2"/>
        </w:numPr>
        <w:spacing w:after="80" w:line="300"/>
      </w:pPr>
      <w:r>
        <w:t xml:space="preserve">All Stellar interactions are encapsulated in a dedicated service layer to allow future migration between testnet and mainnet with configuration changes only.</w:t>
      </w:r>
    </w:p>
    <w:p>
      <w:pPr>
        <w:pStyle w:val="ListParagraph"/>
        <w:numPr>
          <w:ilvl w:val="0"/>
          <w:numId w:val="2"/>
        </w:numPr>
        <w:spacing w:after="80" w:line="300"/>
      </w:pPr>
      <w:r>
        <w:t xml:space="preserve">Automated tests cover critical business logic including contribution accounting, loan disbursement, and default state transitions.</w:t>
      </w:r>
    </w:p>
    <w:p>
      <w:pPr>
        <w:pStyle w:val="Heading2"/>
        <w:spacing w:after="140" w:before="280"/>
      </w:pPr>
      <w:r>
        <w:t xml:space="preserve">5.6 Compliance</w:t>
      </w:r>
    </w:p>
    <w:p>
      <w:pPr>
        <w:pStyle w:val="ListParagraph"/>
        <w:numPr>
          <w:ilvl w:val="0"/>
          <w:numId w:val="2"/>
        </w:numPr>
        <w:spacing w:after="80" w:line="300"/>
      </w:pPr>
      <w:r>
        <w:t xml:space="preserve">The platform operates under a private, invite-only regulatory posture that positions it as a group management tool rather than a lending institution.</w:t>
      </w:r>
    </w:p>
    <w:p>
      <w:pPr>
        <w:pStyle w:val="ListParagraph"/>
        <w:numPr>
          <w:ilvl w:val="0"/>
          <w:numId w:val="2"/>
        </w:numPr>
        <w:spacing w:after="80" w:line="300"/>
      </w:pPr>
      <w:r>
        <w:t xml:space="preserve">No public advertising of lending or savings services is permitted from within the platform.</w:t>
      </w:r>
    </w:p>
    <w:p>
      <w:pPr>
        <w:pStyle w:val="ListParagraph"/>
        <w:numPr>
          <w:ilvl w:val="0"/>
          <w:numId w:val="2"/>
        </w:numPr>
        <w:spacing w:after="80" w:line="300"/>
      </w:pPr>
      <w:r>
        <w:t xml:space="preserve">User data handling complies with the Philippine Data Privacy Act of 2012.</w:t>
      </w:r>
    </w:p>
    <w:p>
      <w:r>
        <w:br w:type="page"/>
      </w:r>
    </w:p>
    <w:p>
      <w:pPr>
        <w:pStyle w:val="Heading1"/>
        <w:spacing w:after="180" w:before="360"/>
      </w:pPr>
      <w:r>
        <w:t xml:space="preserve">6. System Architecture</w:t>
      </w:r>
    </w:p>
    <w:p>
      <w:pPr>
        <w:pStyle w:val="Heading2"/>
        <w:spacing w:after="140" w:before="280"/>
      </w:pPr>
      <w:r>
        <w:t xml:space="preserve">6.1 Architectural Overview</w:t>
      </w:r>
    </w:p>
    <w:p>
      <w:pPr>
        <w:spacing w:after="120" w:line="300"/>
      </w:pPr>
      <w:r>
        <w:t xml:space="preserve">Ambagan follows a three-layer architecture: a Next.js web frontend, a NestJS backend API, and the Stellar blockchain network for settlement and record-keeping. The backend maintains only off-chain metadata (user profiles, notification preferences, loan descriptions, cached credit scores). All financial state — balances, contributions, loans, votes, repayments — lives on the Stellar network as the authoritative source of truth.</w:t>
      </w:r>
    </w:p>
    <w:p>
      <w:pPr>
        <w:pStyle w:val="Heading2"/>
        <w:spacing w:after="140" w:before="280"/>
      </w:pPr>
      <w:r>
        <w:t xml:space="preserve">6.2 Architectural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shd w:fill="1F3A5F" w:color="auto" w:val="clear"/>
            <w:tcMar>
              <w:top w:type="dxa" w:w="100"/>
              <w:left w:type="dxa" w:w="120"/>
              <w:bottom w:type="dxa" w:w="100"/>
              <w:right w:type="dxa" w:w="120"/>
            </w:tcMar>
          </w:tcPr>
          <w:p>
            <w:r>
              <w:rPr>
                <w:b/>
                <w:bCs/>
                <w:color w:val="FFFFFF"/>
                <w:sz w:val="20"/>
                <w:szCs w:val="20"/>
              </w:rPr>
              <w:t xml:space="preserve">Layer</w:t>
            </w:r>
          </w:p>
        </w:tc>
        <w:tc>
          <w:tcPr>
            <w:tcW w:type="dxa" w:w="3000"/>
            <w:shd w:fill="1F3A5F" w:color="auto" w:val="clear"/>
            <w:tcMar>
              <w:top w:type="dxa" w:w="100"/>
              <w:left w:type="dxa" w:w="120"/>
              <w:bottom w:type="dxa" w:w="100"/>
              <w:right w:type="dxa" w:w="120"/>
            </w:tcMar>
          </w:tcPr>
          <w:p>
            <w:r>
              <w:rPr>
                <w:b/>
                <w:bCs/>
                <w:color w:val="FFFFFF"/>
                <w:sz w:val="20"/>
                <w:szCs w:val="20"/>
              </w:rPr>
              <w:t xml:space="preserve">Component</w:t>
            </w:r>
          </w:p>
        </w:tc>
        <w:tc>
          <w:tcPr>
            <w:tcW w:type="dxa" w:w="4360"/>
            <w:shd w:fill="1F3A5F" w:color="auto" w:val="clear"/>
            <w:tcMar>
              <w:top w:type="dxa" w:w="100"/>
              <w:left w:type="dxa" w:w="120"/>
              <w:bottom w:type="dxa" w:w="100"/>
              <w:right w:type="dxa" w:w="120"/>
            </w:tcMar>
          </w:tcPr>
          <w:p>
            <w:r>
              <w:rPr>
                <w:b/>
                <w:bCs/>
                <w:color w:val="FFFFFF"/>
                <w:sz w:val="20"/>
                <w:szCs w:val="20"/>
              </w:rPr>
              <w:t xml:space="preserve">Responsibility</w:t>
            </w:r>
          </w:p>
        </w:tc>
      </w:tr>
      <w:tr>
        <w:tc>
          <w:tcPr>
            <w:tcW w:type="dxa" w:w="2000"/>
            <w:tcMar>
              <w:top w:type="dxa" w:w="90"/>
              <w:left w:type="dxa" w:w="120"/>
              <w:bottom w:type="dxa" w:w="90"/>
              <w:right w:type="dxa" w:w="120"/>
            </w:tcMar>
          </w:tcPr>
          <w:p>
            <w:r>
              <w:rPr>
                <w:b/>
                <w:bCs/>
                <w:sz w:val="20"/>
                <w:szCs w:val="20"/>
              </w:rPr>
              <w:t xml:space="preserve">Frontend</w:t>
            </w:r>
          </w:p>
        </w:tc>
        <w:tc>
          <w:tcPr>
            <w:tcW w:type="dxa" w:w="3000"/>
            <w:tcMar>
              <w:top w:type="dxa" w:w="90"/>
              <w:left w:type="dxa" w:w="120"/>
              <w:bottom w:type="dxa" w:w="90"/>
              <w:right w:type="dxa" w:w="120"/>
            </w:tcMar>
          </w:tcPr>
          <w:p>
            <w:r>
              <w:rPr>
                <w:b w:val="false"/>
                <w:bCs w:val="false"/>
                <w:sz w:val="20"/>
                <w:szCs w:val="20"/>
              </w:rPr>
              <w:t xml:space="preserve">Next.js web app</w:t>
            </w:r>
          </w:p>
        </w:tc>
        <w:tc>
          <w:tcPr>
            <w:tcW w:type="dxa" w:w="4360"/>
            <w:tcMar>
              <w:top w:type="dxa" w:w="90"/>
              <w:left w:type="dxa" w:w="120"/>
              <w:bottom w:type="dxa" w:w="90"/>
              <w:right w:type="dxa" w:w="120"/>
            </w:tcMar>
          </w:tcPr>
          <w:p>
            <w:r>
              <w:rPr>
                <w:b w:val="false"/>
                <w:bCs w:val="false"/>
                <w:sz w:val="20"/>
                <w:szCs w:val="20"/>
              </w:rPr>
              <w:t xml:space="preserve">Serves the member dashboard, group view, admin panel, and ledger.</w:t>
            </w:r>
          </w:p>
        </w:tc>
      </w:tr>
      <w:tr>
        <w:tc>
          <w:tcPr>
            <w:tcW w:type="dxa" w:w="2000"/>
            <w:shd w:fill="F2F5F9" w:color="auto" w:val="clear"/>
            <w:tcMar>
              <w:top w:type="dxa" w:w="90"/>
              <w:left w:type="dxa" w:w="120"/>
              <w:bottom w:type="dxa" w:w="90"/>
              <w:right w:type="dxa" w:w="120"/>
            </w:tcMar>
          </w:tcPr>
          <w:p>
            <w:r>
              <w:rPr>
                <w:b/>
                <w:bCs/>
                <w:sz w:val="20"/>
                <w:szCs w:val="20"/>
              </w:rPr>
              <w:t xml:space="preserve">Frontend</w:t>
            </w:r>
          </w:p>
        </w:tc>
        <w:tc>
          <w:tcPr>
            <w:tcW w:type="dxa" w:w="3000"/>
            <w:shd w:fill="F2F5F9" w:color="auto" w:val="clear"/>
            <w:tcMar>
              <w:top w:type="dxa" w:w="90"/>
              <w:left w:type="dxa" w:w="120"/>
              <w:bottom w:type="dxa" w:w="90"/>
              <w:right w:type="dxa" w:w="120"/>
            </w:tcMar>
          </w:tcPr>
          <w:p>
            <w:r>
              <w:rPr>
                <w:b w:val="false"/>
                <w:bCs w:val="false"/>
                <w:sz w:val="20"/>
                <w:szCs w:val="20"/>
              </w:rPr>
              <w:t xml:space="preserve">Freighter integration</w:t>
            </w:r>
          </w:p>
        </w:tc>
        <w:tc>
          <w:tcPr>
            <w:tcW w:type="dxa" w:w="4360"/>
            <w:shd w:fill="F2F5F9" w:color="auto" w:val="clear"/>
            <w:tcMar>
              <w:top w:type="dxa" w:w="90"/>
              <w:left w:type="dxa" w:w="120"/>
              <w:bottom w:type="dxa" w:w="90"/>
              <w:right w:type="dxa" w:w="120"/>
            </w:tcMar>
          </w:tcPr>
          <w:p>
            <w:r>
              <w:rPr>
                <w:b w:val="false"/>
                <w:bCs w:val="false"/>
                <w:sz w:val="20"/>
                <w:szCs w:val="20"/>
              </w:rPr>
              <w:t xml:space="preserve">Enables wallet-based Stellar transaction signing for members using their own keys.</w:t>
            </w:r>
          </w:p>
        </w:tc>
      </w:tr>
      <w:tr>
        <w:tc>
          <w:tcPr>
            <w:tcW w:type="dxa" w:w="2000"/>
            <w:tcMar>
              <w:top w:type="dxa" w:w="90"/>
              <w:left w:type="dxa" w:w="120"/>
              <w:bottom w:type="dxa" w:w="90"/>
              <w:right w:type="dxa" w:w="120"/>
            </w:tcMar>
          </w:tcPr>
          <w:p>
            <w:r>
              <w:rPr>
                <w:b/>
                <w:bCs/>
                <w:sz w:val="20"/>
                <w:szCs w:val="20"/>
              </w:rPr>
              <w:t xml:space="preserve">Backend</w:t>
            </w:r>
          </w:p>
        </w:tc>
        <w:tc>
          <w:tcPr>
            <w:tcW w:type="dxa" w:w="3000"/>
            <w:tcMar>
              <w:top w:type="dxa" w:w="90"/>
              <w:left w:type="dxa" w:w="120"/>
              <w:bottom w:type="dxa" w:w="90"/>
              <w:right w:type="dxa" w:w="120"/>
            </w:tcMar>
          </w:tcPr>
          <w:p>
            <w:r>
              <w:rPr>
                <w:b w:val="false"/>
                <w:bCs w:val="false"/>
                <w:sz w:val="20"/>
                <w:szCs w:val="20"/>
              </w:rPr>
              <w:t xml:space="preserve">NestJS API</w:t>
            </w:r>
          </w:p>
        </w:tc>
        <w:tc>
          <w:tcPr>
            <w:tcW w:type="dxa" w:w="4360"/>
            <w:tcMar>
              <w:top w:type="dxa" w:w="90"/>
              <w:left w:type="dxa" w:w="120"/>
              <w:bottom w:type="dxa" w:w="90"/>
              <w:right w:type="dxa" w:w="120"/>
            </w:tcMar>
          </w:tcPr>
          <w:p>
            <w:r>
              <w:rPr>
                <w:b w:val="false"/>
                <w:bCs w:val="false"/>
                <w:sz w:val="20"/>
                <w:szCs w:val="20"/>
              </w:rPr>
              <w:t xml:space="preserve">Handles authentication, off-chain business logic, notifications, and Stellar SDK orchestration.</w:t>
            </w:r>
          </w:p>
        </w:tc>
      </w:tr>
      <w:tr>
        <w:tc>
          <w:tcPr>
            <w:tcW w:type="dxa" w:w="2000"/>
            <w:shd w:fill="F2F5F9" w:color="auto" w:val="clear"/>
            <w:tcMar>
              <w:top w:type="dxa" w:w="90"/>
              <w:left w:type="dxa" w:w="120"/>
              <w:bottom w:type="dxa" w:w="90"/>
              <w:right w:type="dxa" w:w="120"/>
            </w:tcMar>
          </w:tcPr>
          <w:p>
            <w:r>
              <w:rPr>
                <w:b/>
                <w:bCs/>
                <w:sz w:val="20"/>
                <w:szCs w:val="20"/>
              </w:rPr>
              <w:t xml:space="preserve">Backend</w:t>
            </w:r>
          </w:p>
        </w:tc>
        <w:tc>
          <w:tcPr>
            <w:tcW w:type="dxa" w:w="3000"/>
            <w:shd w:fill="F2F5F9" w:color="auto" w:val="clear"/>
            <w:tcMar>
              <w:top w:type="dxa" w:w="90"/>
              <w:left w:type="dxa" w:w="120"/>
              <w:bottom w:type="dxa" w:w="90"/>
              <w:right w:type="dxa" w:w="120"/>
            </w:tcMar>
          </w:tcPr>
          <w:p>
            <w:r>
              <w:rPr>
                <w:b w:val="false"/>
                <w:bCs w:val="false"/>
                <w:sz w:val="20"/>
                <w:szCs w:val="20"/>
              </w:rPr>
              <w:t xml:space="preserve">PostgreSQL database</w:t>
            </w:r>
          </w:p>
        </w:tc>
        <w:tc>
          <w:tcPr>
            <w:tcW w:type="dxa" w:w="4360"/>
            <w:shd w:fill="F2F5F9" w:color="auto" w:val="clear"/>
            <w:tcMar>
              <w:top w:type="dxa" w:w="90"/>
              <w:left w:type="dxa" w:w="120"/>
              <w:bottom w:type="dxa" w:w="90"/>
              <w:right w:type="dxa" w:w="120"/>
            </w:tcMar>
          </w:tcPr>
          <w:p>
            <w:r>
              <w:rPr>
                <w:b w:val="false"/>
                <w:bCs w:val="false"/>
                <w:sz w:val="20"/>
                <w:szCs w:val="20"/>
              </w:rPr>
              <w:t xml:space="preserve">Stores user profiles, group settings, notification preferences, and cached credit scores.</w:t>
            </w:r>
          </w:p>
        </w:tc>
      </w:tr>
      <w:tr>
        <w:tc>
          <w:tcPr>
            <w:tcW w:type="dxa" w:w="2000"/>
            <w:tcMar>
              <w:top w:type="dxa" w:w="90"/>
              <w:left w:type="dxa" w:w="120"/>
              <w:bottom w:type="dxa" w:w="90"/>
              <w:right w:type="dxa" w:w="120"/>
            </w:tcMar>
          </w:tcPr>
          <w:p>
            <w:r>
              <w:rPr>
                <w:b/>
                <w:bCs/>
                <w:sz w:val="20"/>
                <w:szCs w:val="20"/>
              </w:rPr>
              <w:t xml:space="preserve">Backend</w:t>
            </w:r>
          </w:p>
        </w:tc>
        <w:tc>
          <w:tcPr>
            <w:tcW w:type="dxa" w:w="3000"/>
            <w:tcMar>
              <w:top w:type="dxa" w:w="90"/>
              <w:left w:type="dxa" w:w="120"/>
              <w:bottom w:type="dxa" w:w="90"/>
              <w:right w:type="dxa" w:w="120"/>
            </w:tcMar>
          </w:tcPr>
          <w:p>
            <w:r>
              <w:rPr>
                <w:b w:val="false"/>
                <w:bCs w:val="false"/>
                <w:sz w:val="20"/>
                <w:szCs w:val="20"/>
              </w:rPr>
              <w:t xml:space="preserve">Email service</w:t>
            </w:r>
          </w:p>
        </w:tc>
        <w:tc>
          <w:tcPr>
            <w:tcW w:type="dxa" w:w="4360"/>
            <w:tcMar>
              <w:top w:type="dxa" w:w="90"/>
              <w:left w:type="dxa" w:w="120"/>
              <w:bottom w:type="dxa" w:w="90"/>
              <w:right w:type="dxa" w:w="120"/>
            </w:tcMar>
          </w:tcPr>
          <w:p>
            <w:r>
              <w:rPr>
                <w:b w:val="false"/>
                <w:bCs w:val="false"/>
                <w:sz w:val="20"/>
                <w:szCs w:val="20"/>
              </w:rPr>
              <w:t xml:space="preserve">Delivers transactional emails via Resend or a comparable provider.</w:t>
            </w:r>
          </w:p>
        </w:tc>
      </w:tr>
      <w:tr>
        <w:tc>
          <w:tcPr>
            <w:tcW w:type="dxa" w:w="2000"/>
            <w:shd w:fill="F2F5F9" w:color="auto" w:val="clear"/>
            <w:tcMar>
              <w:top w:type="dxa" w:w="90"/>
              <w:left w:type="dxa" w:w="120"/>
              <w:bottom w:type="dxa" w:w="90"/>
              <w:right w:type="dxa" w:w="120"/>
            </w:tcMar>
          </w:tcPr>
          <w:p>
            <w:r>
              <w:rPr>
                <w:b/>
                <w:bCs/>
                <w:sz w:val="20"/>
                <w:szCs w:val="20"/>
              </w:rPr>
              <w:t xml:space="preserve">Blockchain</w:t>
            </w:r>
          </w:p>
        </w:tc>
        <w:tc>
          <w:tcPr>
            <w:tcW w:type="dxa" w:w="3000"/>
            <w:shd w:fill="F2F5F9" w:color="auto" w:val="clear"/>
            <w:tcMar>
              <w:top w:type="dxa" w:w="90"/>
              <w:left w:type="dxa" w:w="120"/>
              <w:bottom w:type="dxa" w:w="90"/>
              <w:right w:type="dxa" w:w="120"/>
            </w:tcMar>
          </w:tcPr>
          <w:p>
            <w:r>
              <w:rPr>
                <w:b w:val="false"/>
                <w:bCs w:val="false"/>
                <w:sz w:val="20"/>
                <w:szCs w:val="20"/>
              </w:rPr>
              <w:t xml:space="preserve">Stellar network (testnet)</w:t>
            </w:r>
          </w:p>
        </w:tc>
        <w:tc>
          <w:tcPr>
            <w:tcW w:type="dxa" w:w="4360"/>
            <w:shd w:fill="F2F5F9" w:color="auto" w:val="clear"/>
            <w:tcMar>
              <w:top w:type="dxa" w:w="90"/>
              <w:left w:type="dxa" w:w="120"/>
              <w:bottom w:type="dxa" w:w="90"/>
              <w:right w:type="dxa" w:w="120"/>
            </w:tcMar>
          </w:tcPr>
          <w:p>
            <w:r>
              <w:rPr>
                <w:b w:val="false"/>
                <w:bCs w:val="false"/>
                <w:sz w:val="20"/>
                <w:szCs w:val="20"/>
              </w:rPr>
              <w:t xml:space="preserve">Handles account balances, transaction settlement, and multi-signature enforcement.</w:t>
            </w:r>
          </w:p>
        </w:tc>
      </w:tr>
      <w:tr>
        <w:tc>
          <w:tcPr>
            <w:tcW w:type="dxa" w:w="2000"/>
            <w:tcMar>
              <w:top w:type="dxa" w:w="90"/>
              <w:left w:type="dxa" w:w="120"/>
              <w:bottom w:type="dxa" w:w="90"/>
              <w:right w:type="dxa" w:w="120"/>
            </w:tcMar>
          </w:tcPr>
          <w:p>
            <w:r>
              <w:rPr>
                <w:b/>
                <w:bCs/>
                <w:sz w:val="20"/>
                <w:szCs w:val="20"/>
              </w:rPr>
              <w:t xml:space="preserve">Blockchain</w:t>
            </w:r>
          </w:p>
        </w:tc>
        <w:tc>
          <w:tcPr>
            <w:tcW w:type="dxa" w:w="3000"/>
            <w:tcMar>
              <w:top w:type="dxa" w:w="90"/>
              <w:left w:type="dxa" w:w="120"/>
              <w:bottom w:type="dxa" w:w="90"/>
              <w:right w:type="dxa" w:w="120"/>
            </w:tcMar>
          </w:tcPr>
          <w:p>
            <w:r>
              <w:rPr>
                <w:b w:val="false"/>
                <w:bCs w:val="false"/>
                <w:sz w:val="20"/>
                <w:szCs w:val="20"/>
              </w:rPr>
              <w:t xml:space="preserve">Soroban smart contracts</w:t>
            </w:r>
          </w:p>
        </w:tc>
        <w:tc>
          <w:tcPr>
            <w:tcW w:type="dxa" w:w="4360"/>
            <w:tcMar>
              <w:top w:type="dxa" w:w="90"/>
              <w:left w:type="dxa" w:w="120"/>
              <w:bottom w:type="dxa" w:w="90"/>
              <w:right w:type="dxa" w:w="120"/>
            </w:tcMar>
          </w:tcPr>
          <w:p>
            <w:r>
              <w:rPr>
                <w:b w:val="false"/>
                <w:bCs w:val="false"/>
                <w:sz w:val="20"/>
                <w:szCs w:val="20"/>
              </w:rPr>
              <w:t xml:space="preserve">Executes interest distribution logic and records default state changes on-chain.</w:t>
            </w:r>
          </w:p>
        </w:tc>
      </w:tr>
      <w:tr>
        <w:tc>
          <w:tcPr>
            <w:tcW w:type="dxa" w:w="2000"/>
            <w:shd w:fill="F2F5F9" w:color="auto" w:val="clear"/>
            <w:tcMar>
              <w:top w:type="dxa" w:w="90"/>
              <w:left w:type="dxa" w:w="120"/>
              <w:bottom w:type="dxa" w:w="90"/>
              <w:right w:type="dxa" w:w="120"/>
            </w:tcMar>
          </w:tcPr>
          <w:p>
            <w:r>
              <w:rPr>
                <w:b/>
                <w:bCs/>
                <w:sz w:val="20"/>
                <w:szCs w:val="20"/>
              </w:rPr>
              <w:t xml:space="preserve">Blockchain</w:t>
            </w:r>
          </w:p>
        </w:tc>
        <w:tc>
          <w:tcPr>
            <w:tcW w:type="dxa" w:w="3000"/>
            <w:shd w:fill="F2F5F9" w:color="auto" w:val="clear"/>
            <w:tcMar>
              <w:top w:type="dxa" w:w="90"/>
              <w:left w:type="dxa" w:w="120"/>
              <w:bottom w:type="dxa" w:w="90"/>
              <w:right w:type="dxa" w:w="120"/>
            </w:tcMar>
          </w:tcPr>
          <w:p>
            <w:r>
              <w:rPr>
                <w:b w:val="false"/>
                <w:bCs w:val="false"/>
                <w:sz w:val="20"/>
                <w:szCs w:val="20"/>
              </w:rPr>
              <w:t xml:space="preserve">Custom test asset</w:t>
            </w:r>
          </w:p>
        </w:tc>
        <w:tc>
          <w:tcPr>
            <w:tcW w:type="dxa" w:w="4360"/>
            <w:shd w:fill="F2F5F9" w:color="auto" w:val="clear"/>
            <w:tcMar>
              <w:top w:type="dxa" w:w="90"/>
              <w:left w:type="dxa" w:w="120"/>
              <w:bottom w:type="dxa" w:w="90"/>
              <w:right w:type="dxa" w:w="120"/>
            </w:tcMar>
          </w:tcPr>
          <w:p>
            <w:r>
              <w:rPr>
                <w:b w:val="false"/>
                <w:bCs w:val="false"/>
                <w:sz w:val="20"/>
                <w:szCs w:val="20"/>
              </w:rPr>
              <w:t xml:space="preserve">Represents pooled currency for hackathon demonstration; maps to a PHP-pegged token in production.</w:t>
            </w:r>
          </w:p>
        </w:tc>
      </w:tr>
    </w:tbl>
    <w:p>
      <w:pPr>
        <w:pStyle w:val="Heading2"/>
        <w:spacing w:after="140" w:before="280"/>
      </w:pPr>
      <w:r>
        <w:t xml:space="preserve">6.3 Data Flow Summary</w:t>
      </w:r>
    </w:p>
    <w:p>
      <w:pPr>
        <w:spacing w:after="120" w:line="300"/>
      </w:pPr>
      <w:r>
        <w:t xml:space="preserve">A typical contribution follows this path: the member initiates a contribution from the web interface; the backend constructs the Stellar transaction and either co-signs it (custodial mode) or hands it to Freighter for member signing (non-custodial mode); the signed transaction is submitted to the Stellar network; upon confirmation, the backend updates its cached view and triggers any relevant notifications.</w:t>
      </w:r>
    </w:p>
    <w:p>
      <w:pPr>
        <w:spacing w:after="120" w:line="300"/>
      </w:pPr>
      <w:r>
        <w:t xml:space="preserve">A loan disbursement follows a similar pattern with an additional multi-signature layer: the loan request enters an active voting state; each approving member signs the pending disbursement transaction; once the signature threshold is met, the transaction is submitted; funds move from the group account to the borrower's account atomically.</w:t>
      </w:r>
    </w:p>
    <w:p>
      <w:r>
        <w:br w:type="page"/>
      </w:r>
    </w:p>
    <w:p>
      <w:pPr>
        <w:pStyle w:val="Heading1"/>
        <w:spacing w:after="180" w:before="360"/>
      </w:pPr>
      <w:r>
        <w:t xml:space="preserve">7. Stellar Integration Details</w:t>
      </w:r>
    </w:p>
    <w:p>
      <w:pPr>
        <w:pStyle w:val="Heading2"/>
        <w:spacing w:after="140" w:before="280"/>
      </w:pPr>
      <w:r>
        <w:t xml:space="preserve">7.1 Account Model</w:t>
      </w:r>
    </w:p>
    <w:p>
      <w:pPr>
        <w:spacing w:after="120" w:line="300"/>
      </w:pPr>
      <w:r>
        <w:t xml:space="preserve">Every user and every group in Ambagan corresponds to a Stellar account. Group accounts hold the pooled funds; user accounts hold their personal balance and sign transactions. For MVP, the platform operates in a custodial mode by default — the backend generates and stores encrypted keypairs for users who do not bring their own wallet. Users may opt into non-custodial mode by connecting a Freighter-managed Stellar account, in which case the platform never touches their private key.</w:t>
      </w:r>
    </w:p>
    <w:p>
      <w:pPr>
        <w:pStyle w:val="Heading2"/>
        <w:spacing w:after="140" w:before="280"/>
      </w:pPr>
      <w:r>
        <w:t xml:space="preserve">7.2 Multi-Signature Governance</w:t>
      </w:r>
    </w:p>
    <w:p>
      <w:pPr>
        <w:spacing w:after="120" w:line="300"/>
      </w:pPr>
      <w:r>
        <w:t xml:space="preserve">The group fund account is configured as a Stellar multi-signature account. Each member's Stellar account is added as a signer with a threshold weight. The account's master weight is set below the threshold required for outgoing payments, ensuring that no single party — including the group administrator — can move funds unilaterally. Outgoing transactions (loan disbursements) require signatures totaling the group's configured approval threshold: simple majority, two-thirds, or unanimous.</w:t>
      </w:r>
    </w:p>
    <w:p>
      <w:pPr>
        <w:spacing w:after="120" w:line="300"/>
      </w:pPr>
      <w:r>
        <w:t xml:space="preserve">This design places governance enforcement at the protocol level. The application coordinates and displays the voting process, but even if the application layer were compromised, the funds could not move without valid on-chain signatures from the required number of members.</w:t>
      </w:r>
    </w:p>
    <w:p>
      <w:pPr>
        <w:pStyle w:val="Heading2"/>
        <w:spacing w:after="140" w:before="280"/>
      </w:pPr>
      <w:r>
        <w:t xml:space="preserve">7.3 Asset Design</w:t>
      </w:r>
    </w:p>
    <w:p>
      <w:pPr>
        <w:spacing w:after="120" w:line="300"/>
      </w:pPr>
      <w:r>
        <w:t xml:space="preserve">For the hackathon demonstration, Ambagan issues a custom Stellar testnet asset representing the pooled currency. The asset is issued from a controlled issuing account and distributed to member accounts on demand for demonstration purposes. In a production deployment, this asset would be replaced by a PHP-pegged token issued by a licensed anchor operating under Philippine regulatory oversight.</w:t>
      </w:r>
    </w:p>
    <w:p>
      <w:pPr>
        <w:spacing w:after="120" w:line="300"/>
      </w:pPr>
      <w:r>
        <w:t xml:space="preserve">Members hold their contributions and receive disbursements in this asset. The asset is fully transferable within the Stellar network and would be redeemable for fiat currency through the corresponding anchor in production.</w:t>
      </w:r>
    </w:p>
    <w:p>
      <w:pPr>
        <w:pStyle w:val="Heading2"/>
        <w:spacing w:after="140" w:before="280"/>
      </w:pPr>
      <w:r>
        <w:t xml:space="preserve">7.4 Soroban Smart Contracts</w:t>
      </w:r>
    </w:p>
    <w:p>
      <w:pPr>
        <w:spacing w:after="120" w:line="300"/>
      </w:pPr>
      <w:r>
        <w:t xml:space="preserve">Ambagan uses Soroban smart contracts for logic that benefits from on-chain execution guarantees:</w:t>
      </w:r>
    </w:p>
    <w:p>
      <w:pPr>
        <w:pStyle w:val="ListParagraph"/>
        <w:numPr>
          <w:ilvl w:val="0"/>
          <w:numId w:val="2"/>
        </w:numPr>
        <w:spacing w:after="80" w:line="300"/>
      </w:pPr>
      <w:r>
        <w:rPr>
          <w:b/>
          <w:bCs/>
        </w:rPr>
        <w:t xml:space="preserve">Interest distribution contract — </w:t>
      </w:r>
      <w:r>
        <w:t xml:space="preserve">computes each member's share of repaid interest based on their contribution stake and executes the disbursement transactions atomically.</w:t>
      </w:r>
    </w:p>
    <w:p>
      <w:pPr>
        <w:pStyle w:val="ListParagraph"/>
        <w:numPr>
          <w:ilvl w:val="0"/>
          <w:numId w:val="2"/>
        </w:numPr>
        <w:spacing w:after="80" w:line="300"/>
      </w:pPr>
      <w:r>
        <w:rPr>
          <w:b/>
          <w:bCs/>
        </w:rPr>
        <w:t xml:space="preserve">Contribution accounting contract — </w:t>
      </w:r>
      <w:r>
        <w:t xml:space="preserve">records member contributions with metadata (cycle number, on-time status) that feeds credit scoring.</w:t>
      </w:r>
    </w:p>
    <w:p>
      <w:pPr>
        <w:pStyle w:val="ListParagraph"/>
        <w:numPr>
          <w:ilvl w:val="0"/>
          <w:numId w:val="2"/>
        </w:numPr>
        <w:spacing w:after="80" w:line="300"/>
      </w:pPr>
      <w:r>
        <w:rPr>
          <w:b/>
          <w:bCs/>
        </w:rPr>
        <w:t xml:space="preserve">Default state contract — </w:t>
      </w:r>
      <w:r>
        <w:t xml:space="preserve">records and manages the state of defaulted loans, including the state transitions across the four escalation stages.</w:t>
      </w:r>
    </w:p>
    <w:p>
      <w:pPr>
        <w:spacing w:after="120" w:line="300"/>
      </w:pPr>
      <w:r>
        <w:t xml:space="preserve">These contracts are written in Rust and deployed to Soroban's testnet environment during the hackathon phase.</w:t>
      </w:r>
    </w:p>
    <w:p>
      <w:pPr>
        <w:pStyle w:val="Heading2"/>
        <w:spacing w:after="140" w:before="280"/>
      </w:pPr>
      <w:r>
        <w:t xml:space="preserve">7.5 Off-Chain vs. On-Chain State</w:t>
      </w:r>
    </w:p>
    <w:p>
      <w:pPr>
        <w:spacing w:after="120" w:line="300"/>
      </w:pPr>
      <w:r>
        <w:t xml:space="preserve">A deliberate architectural decision separates state into two categories. On-chain: balances, transaction history, signatures, votes, contract-driven distributions, and default state. Off-chain: user names and profile photos, group descriptions, loan purpose tags and free-text descriptions, notification preferences, and cached credit scores computed from on-chain data. This split minimizes on-chain storage cost while preserving the immutability guarantees where they matter most.</w:t>
      </w:r>
    </w:p>
    <w:p>
      <w:r>
        <w:br w:type="page"/>
      </w:r>
    </w:p>
    <w:p>
      <w:pPr>
        <w:pStyle w:val="Heading1"/>
        <w:spacing w:after="180" w:before="360"/>
      </w:pPr>
      <w:r>
        <w:t xml:space="preserve">8. Default Handling System</w:t>
      </w:r>
    </w:p>
    <w:p>
      <w:pPr>
        <w:spacing w:after="120" w:line="300"/>
      </w:pPr>
      <w:r>
        <w:t xml:space="preserve">Loan default handling is one of the most consequential subsystems in Ambagan. Its design is intentionally graduated: early stages preserve the borrower's dignity and give room for good-faith cash flow issues; later stages protect the pool and record accountability. The four stages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30"/>
        <w:gridCol w:w="3030"/>
      </w:tblGrid>
      <w:tr>
        <w:trPr>
          <w:tblHeader/>
        </w:trPr>
        <w:tc>
          <w:tcPr>
            <w:tcW w:type="dxa" w:w="1500"/>
            <w:shd w:fill="1F3A5F" w:color="auto" w:val="clear"/>
            <w:tcMar>
              <w:top w:type="dxa" w:w="100"/>
              <w:left w:type="dxa" w:w="120"/>
              <w:bottom w:type="dxa" w:w="100"/>
              <w:right w:type="dxa" w:w="120"/>
            </w:tcMar>
          </w:tcPr>
          <w:p>
            <w:r>
              <w:rPr>
                <w:b/>
                <w:bCs/>
                <w:color w:val="FFFFFF"/>
                <w:sz w:val="20"/>
                <w:szCs w:val="20"/>
              </w:rPr>
              <w:t xml:space="preserve">Stage</w:t>
            </w:r>
          </w:p>
        </w:tc>
        <w:tc>
          <w:tcPr>
            <w:tcW w:type="dxa" w:w="1800"/>
            <w:shd w:fill="1F3A5F" w:color="auto" w:val="clear"/>
            <w:tcMar>
              <w:top w:type="dxa" w:w="100"/>
              <w:left w:type="dxa" w:w="120"/>
              <w:bottom w:type="dxa" w:w="100"/>
              <w:right w:type="dxa" w:w="120"/>
            </w:tcMar>
          </w:tcPr>
          <w:p>
            <w:r>
              <w:rPr>
                <w:b/>
                <w:bCs/>
                <w:color w:val="FFFFFF"/>
                <w:sz w:val="20"/>
                <w:szCs w:val="20"/>
              </w:rPr>
              <w:t xml:space="preserve">Window</w:t>
            </w:r>
          </w:p>
        </w:tc>
        <w:tc>
          <w:tcPr>
            <w:tcW w:type="dxa" w:w="3030"/>
            <w:shd w:fill="1F3A5F" w:color="auto" w:val="clear"/>
            <w:tcMar>
              <w:top w:type="dxa" w:w="100"/>
              <w:left w:type="dxa" w:w="120"/>
              <w:bottom w:type="dxa" w:w="100"/>
              <w:right w:type="dxa" w:w="120"/>
            </w:tcMar>
          </w:tcPr>
          <w:p>
            <w:r>
              <w:rPr>
                <w:b/>
                <w:bCs/>
                <w:color w:val="FFFFFF"/>
                <w:sz w:val="20"/>
                <w:szCs w:val="20"/>
              </w:rPr>
              <w:t xml:space="preserve">System Actions</w:t>
            </w:r>
          </w:p>
        </w:tc>
        <w:tc>
          <w:tcPr>
            <w:tcW w:type="dxa" w:w="3030"/>
            <w:shd w:fill="1F3A5F" w:color="auto" w:val="clear"/>
            <w:tcMar>
              <w:top w:type="dxa" w:w="100"/>
              <w:left w:type="dxa" w:w="120"/>
              <w:bottom w:type="dxa" w:w="100"/>
              <w:right w:type="dxa" w:w="120"/>
            </w:tcMar>
          </w:tcPr>
          <w:p>
            <w:r>
              <w:rPr>
                <w:b/>
                <w:bCs/>
                <w:color w:val="FFFFFF"/>
                <w:sz w:val="20"/>
                <w:szCs w:val="20"/>
              </w:rPr>
              <w:t xml:space="preserve">Borrower Options</w:t>
            </w:r>
          </w:p>
        </w:tc>
      </w:tr>
      <w:tr>
        <w:tc>
          <w:tcPr>
            <w:tcW w:type="dxa" w:w="1500"/>
            <w:tcMar>
              <w:top w:type="dxa" w:w="90"/>
              <w:left w:type="dxa" w:w="120"/>
              <w:bottom w:type="dxa" w:w="90"/>
              <w:right w:type="dxa" w:w="120"/>
            </w:tcMar>
          </w:tcPr>
          <w:p>
            <w:r>
              <w:rPr>
                <w:b/>
                <w:bCs/>
                <w:sz w:val="20"/>
                <w:szCs w:val="20"/>
              </w:rPr>
              <w:t xml:space="preserve">Stage 1</w:t>
            </w:r>
          </w:p>
        </w:tc>
        <w:tc>
          <w:tcPr>
            <w:tcW w:type="dxa" w:w="1800"/>
            <w:tcMar>
              <w:top w:type="dxa" w:w="90"/>
              <w:left w:type="dxa" w:w="120"/>
              <w:bottom w:type="dxa" w:w="90"/>
              <w:right w:type="dxa" w:w="120"/>
            </w:tcMar>
          </w:tcPr>
          <w:p>
            <w:r>
              <w:rPr>
                <w:b w:val="false"/>
                <w:bCs w:val="false"/>
                <w:sz w:val="20"/>
                <w:szCs w:val="20"/>
              </w:rPr>
              <w:t xml:space="preserve">Days 1–7 past due</w:t>
            </w:r>
          </w:p>
        </w:tc>
        <w:tc>
          <w:tcPr>
            <w:tcW w:type="dxa" w:w="3030"/>
            <w:tcMar>
              <w:top w:type="dxa" w:w="90"/>
              <w:left w:type="dxa" w:w="120"/>
              <w:bottom w:type="dxa" w:w="90"/>
              <w:right w:type="dxa" w:w="120"/>
            </w:tcMar>
          </w:tcPr>
          <w:p>
            <w:r>
              <w:rPr>
                <w:b w:val="false"/>
                <w:bCs w:val="false"/>
                <w:sz w:val="20"/>
                <w:szCs w:val="20"/>
              </w:rPr>
              <w:t xml:space="preserve">Automated private reminders on Day 1, 3, and 7. Admin sees a quiet dashboard flag. No group-wide visibility.</w:t>
            </w:r>
          </w:p>
        </w:tc>
        <w:tc>
          <w:tcPr>
            <w:tcW w:type="dxa" w:w="3030"/>
            <w:tcMar>
              <w:top w:type="dxa" w:w="90"/>
              <w:left w:type="dxa" w:w="120"/>
              <w:bottom w:type="dxa" w:w="90"/>
              <w:right w:type="dxa" w:w="120"/>
            </w:tcMar>
          </w:tcPr>
          <w:p>
            <w:r>
              <w:rPr>
                <w:b w:val="false"/>
                <w:bCs w:val="false"/>
                <w:sz w:val="20"/>
                <w:szCs w:val="20"/>
              </w:rPr>
              <w:t xml:space="preserve">Repay the missed installment to clear the flag.</w:t>
            </w:r>
          </w:p>
        </w:tc>
      </w:tr>
      <w:tr>
        <w:tc>
          <w:tcPr>
            <w:tcW w:type="dxa" w:w="1500"/>
            <w:shd w:fill="F2F5F9" w:color="auto" w:val="clear"/>
            <w:tcMar>
              <w:top w:type="dxa" w:w="90"/>
              <w:left w:type="dxa" w:w="120"/>
              <w:bottom w:type="dxa" w:w="90"/>
              <w:right w:type="dxa" w:w="120"/>
            </w:tcMar>
          </w:tcPr>
          <w:p>
            <w:r>
              <w:rPr>
                <w:b/>
                <w:bCs/>
                <w:sz w:val="20"/>
                <w:szCs w:val="20"/>
              </w:rPr>
              <w:t xml:space="preserve">Stage 2</w:t>
            </w:r>
          </w:p>
        </w:tc>
        <w:tc>
          <w:tcPr>
            <w:tcW w:type="dxa" w:w="1800"/>
            <w:shd w:fill="F2F5F9" w:color="auto" w:val="clear"/>
            <w:tcMar>
              <w:top w:type="dxa" w:w="90"/>
              <w:left w:type="dxa" w:w="120"/>
              <w:bottom w:type="dxa" w:w="90"/>
              <w:right w:type="dxa" w:w="120"/>
            </w:tcMar>
          </w:tcPr>
          <w:p>
            <w:r>
              <w:rPr>
                <w:b w:val="false"/>
                <w:bCs w:val="false"/>
                <w:sz w:val="20"/>
                <w:szCs w:val="20"/>
              </w:rPr>
              <w:t xml:space="preserve">Days 8–21 past due</w:t>
            </w:r>
          </w:p>
        </w:tc>
        <w:tc>
          <w:tcPr>
            <w:tcW w:type="dxa" w:w="3030"/>
            <w:shd w:fill="F2F5F9" w:color="auto" w:val="clear"/>
            <w:tcMar>
              <w:top w:type="dxa" w:w="90"/>
              <w:left w:type="dxa" w:w="120"/>
              <w:bottom w:type="dxa" w:w="90"/>
              <w:right w:type="dxa" w:w="120"/>
            </w:tcMar>
          </w:tcPr>
          <w:p>
            <w:r>
              <w:rPr>
                <w:b w:val="false"/>
                <w:bCs w:val="false"/>
                <w:sz w:val="20"/>
                <w:szCs w:val="20"/>
              </w:rPr>
              <w:t xml:space="preserve">Overdue flag visible on ledger. Borrower frozen from new loan requests. Admin prompted to reach out.</w:t>
            </w:r>
          </w:p>
        </w:tc>
        <w:tc>
          <w:tcPr>
            <w:tcW w:type="dxa" w:w="3030"/>
            <w:shd w:fill="F2F5F9" w:color="auto" w:val="clear"/>
            <w:tcMar>
              <w:top w:type="dxa" w:w="90"/>
              <w:left w:type="dxa" w:w="120"/>
              <w:bottom w:type="dxa" w:w="90"/>
              <w:right w:type="dxa" w:w="120"/>
            </w:tcMar>
          </w:tcPr>
          <w:p>
            <w:r>
              <w:rPr>
                <w:b w:val="false"/>
                <w:bCs w:val="false"/>
                <w:sz w:val="20"/>
                <w:szCs w:val="20"/>
              </w:rPr>
              <w:t xml:space="preserve">Repay the missed installment, OR submit an extension request for the group to vote on.</w:t>
            </w:r>
          </w:p>
        </w:tc>
      </w:tr>
      <w:tr>
        <w:tc>
          <w:tcPr>
            <w:tcW w:type="dxa" w:w="1500"/>
            <w:tcMar>
              <w:top w:type="dxa" w:w="90"/>
              <w:left w:type="dxa" w:w="120"/>
              <w:bottom w:type="dxa" w:w="90"/>
              <w:right w:type="dxa" w:w="120"/>
            </w:tcMar>
          </w:tcPr>
          <w:p>
            <w:r>
              <w:rPr>
                <w:b/>
                <w:bCs/>
                <w:sz w:val="20"/>
                <w:szCs w:val="20"/>
              </w:rPr>
              <w:t xml:space="preserve">Stage 3</w:t>
            </w:r>
          </w:p>
        </w:tc>
        <w:tc>
          <w:tcPr>
            <w:tcW w:type="dxa" w:w="1800"/>
            <w:tcMar>
              <w:top w:type="dxa" w:w="90"/>
              <w:left w:type="dxa" w:w="120"/>
              <w:bottom w:type="dxa" w:w="90"/>
              <w:right w:type="dxa" w:w="120"/>
            </w:tcMar>
          </w:tcPr>
          <w:p>
            <w:r>
              <w:rPr>
                <w:b w:val="false"/>
                <w:bCs w:val="false"/>
                <w:sz w:val="20"/>
                <w:szCs w:val="20"/>
              </w:rPr>
              <w:t xml:space="preserve">Day 22 onward</w:t>
            </w:r>
          </w:p>
        </w:tc>
        <w:tc>
          <w:tcPr>
            <w:tcW w:type="dxa" w:w="3030"/>
            <w:tcMar>
              <w:top w:type="dxa" w:w="90"/>
              <w:left w:type="dxa" w:w="120"/>
              <w:bottom w:type="dxa" w:w="90"/>
              <w:right w:type="dxa" w:w="120"/>
            </w:tcMar>
          </w:tcPr>
          <w:p>
            <w:r>
              <w:rPr>
                <w:b w:val="false"/>
                <w:bCs w:val="false"/>
                <w:sz w:val="20"/>
                <w:szCs w:val="20"/>
              </w:rPr>
              <w:t xml:space="preserve">Loan marked hard default on ledger. Borrower suspended from voting, contributing, and requesting. Credit score reduced.</w:t>
            </w:r>
          </w:p>
        </w:tc>
        <w:tc>
          <w:tcPr>
            <w:tcW w:type="dxa" w:w="3030"/>
            <w:tcMar>
              <w:top w:type="dxa" w:w="90"/>
              <w:left w:type="dxa" w:w="120"/>
              <w:bottom w:type="dxa" w:w="90"/>
              <w:right w:type="dxa" w:w="120"/>
            </w:tcMar>
          </w:tcPr>
          <w:p>
            <w:r>
              <w:rPr>
                <w:b w:val="false"/>
                <w:bCs w:val="false"/>
                <w:sz w:val="20"/>
                <w:szCs w:val="20"/>
              </w:rPr>
              <w:t xml:space="preserve">Repayment reopens the account. Otherwise, admin chooses waive, partial settle, or dispute flag.</w:t>
            </w:r>
          </w:p>
        </w:tc>
      </w:tr>
      <w:tr>
        <w:tc>
          <w:tcPr>
            <w:tcW w:type="dxa" w:w="1500"/>
            <w:shd w:fill="F2F5F9" w:color="auto" w:val="clear"/>
            <w:tcMar>
              <w:top w:type="dxa" w:w="90"/>
              <w:left w:type="dxa" w:w="120"/>
              <w:bottom w:type="dxa" w:w="90"/>
              <w:right w:type="dxa" w:w="120"/>
            </w:tcMar>
          </w:tcPr>
          <w:p>
            <w:r>
              <w:rPr>
                <w:b/>
                <w:bCs/>
                <w:sz w:val="20"/>
                <w:szCs w:val="20"/>
              </w:rPr>
              <w:t xml:space="preserve">Stage 4</w:t>
            </w:r>
          </w:p>
        </w:tc>
        <w:tc>
          <w:tcPr>
            <w:tcW w:type="dxa" w:w="1800"/>
            <w:shd w:fill="F2F5F9" w:color="auto" w:val="clear"/>
            <w:tcMar>
              <w:top w:type="dxa" w:w="90"/>
              <w:left w:type="dxa" w:w="120"/>
              <w:bottom w:type="dxa" w:w="90"/>
              <w:right w:type="dxa" w:w="120"/>
            </w:tcMar>
          </w:tcPr>
          <w:p>
            <w:r>
              <w:rPr>
                <w:b w:val="false"/>
                <w:bCs w:val="false"/>
                <w:sz w:val="20"/>
                <w:szCs w:val="20"/>
              </w:rPr>
              <w:t xml:space="preserve">After Stage 3 resolution</w:t>
            </w:r>
          </w:p>
        </w:tc>
        <w:tc>
          <w:tcPr>
            <w:tcW w:type="dxa" w:w="3030"/>
            <w:shd w:fill="F2F5F9" w:color="auto" w:val="clear"/>
            <w:tcMar>
              <w:top w:type="dxa" w:w="90"/>
              <w:left w:type="dxa" w:w="120"/>
              <w:bottom w:type="dxa" w:w="90"/>
              <w:right w:type="dxa" w:w="120"/>
            </w:tcMar>
          </w:tcPr>
          <w:p>
            <w:r>
              <w:rPr>
                <w:b w:val="false"/>
                <w:bCs w:val="false"/>
                <w:sz w:val="20"/>
                <w:szCs w:val="20"/>
              </w:rPr>
              <w:t xml:space="preserve">Loss distributed proportionally by contribution stake. Each member's share is calculated and shown on the ledger.</w:t>
            </w:r>
          </w:p>
        </w:tc>
        <w:tc>
          <w:tcPr>
            <w:tcW w:type="dxa" w:w="3030"/>
            <w:shd w:fill="F2F5F9" w:color="auto" w:val="clear"/>
            <w:tcMar>
              <w:top w:type="dxa" w:w="90"/>
              <w:left w:type="dxa" w:w="120"/>
              <w:bottom w:type="dxa" w:w="90"/>
              <w:right w:type="dxa" w:w="120"/>
            </w:tcMar>
          </w:tcPr>
          <w:p>
            <w:r>
              <w:rPr>
                <w:b w:val="false"/>
                <w:bCs w:val="false"/>
                <w:sz w:val="20"/>
                <w:szCs w:val="20"/>
              </w:rPr>
              <w:t xml:space="preserve">Default remains permanently on the borrower's credit history.</w:t>
            </w:r>
          </w:p>
        </w:tc>
      </w:tr>
    </w:tbl>
    <w:p>
      <w:pPr>
        <w:pStyle w:val="Heading2"/>
        <w:spacing w:after="140" w:before="280"/>
      </w:pPr>
      <w:r>
        <w:t xml:space="preserve">8.1 Extension Request Mechanism</w:t>
      </w:r>
    </w:p>
    <w:p>
      <w:pPr>
        <w:spacing w:after="120" w:line="300"/>
      </w:pPr>
      <w:r>
        <w:t xml:space="preserve">During Stage 2, a borrower may submit an extension request describing their situation and proposing a new repayment schedule. The request is put to a group vote using the same mechanism as loan approvals. If approved, the payment clock resets to the new date and the borrower returns to Stage 1 relative to the new schedule. This gives borrowers a legitimate, structured, face-saving path back to good standing while keeping the community in control of the decision.</w:t>
      </w:r>
    </w:p>
    <w:p>
      <w:pPr>
        <w:pStyle w:val="Heading2"/>
        <w:spacing w:after="140" w:before="280"/>
      </w:pPr>
      <w:r>
        <w:t xml:space="preserve">8.2 Administrator Resolution Options at Stage 3</w:t>
      </w:r>
    </w:p>
    <w:p>
      <w:pPr>
        <w:pStyle w:val="ListParagraph"/>
        <w:numPr>
          <w:ilvl w:val="0"/>
          <w:numId w:val="2"/>
        </w:numPr>
        <w:spacing w:after="80" w:line="300"/>
      </w:pPr>
      <w:r>
        <w:rPr>
          <w:b/>
          <w:bCs/>
        </w:rPr>
        <w:t xml:space="preserve">Waive — </w:t>
      </w:r>
      <w:r>
        <w:t xml:space="preserve">the administrator declares the outstanding balance unrecoverable. The loss is absorbed by the pool and distributed to members proportionally. The waive is permanently recorded on the borrower's history.</w:t>
      </w:r>
    </w:p>
    <w:p>
      <w:pPr>
        <w:pStyle w:val="ListParagraph"/>
        <w:numPr>
          <w:ilvl w:val="0"/>
          <w:numId w:val="2"/>
        </w:numPr>
        <w:spacing w:after="80" w:line="300"/>
      </w:pPr>
      <w:r>
        <w:rPr>
          <w:b/>
          <w:bCs/>
        </w:rPr>
        <w:t xml:space="preserve">Partial settle — </w:t>
      </w:r>
      <w:r>
        <w:t xml:space="preserve">the borrower agrees to repay a reduced amount that closes the loan. The remaining balance is treated as a waive and distributed.</w:t>
      </w:r>
    </w:p>
    <w:p>
      <w:pPr>
        <w:pStyle w:val="ListParagraph"/>
        <w:numPr>
          <w:ilvl w:val="0"/>
          <w:numId w:val="2"/>
        </w:numPr>
        <w:spacing w:after="80" w:line="300"/>
      </w:pPr>
      <w:r>
        <w:rPr>
          <w:b/>
          <w:bCs/>
        </w:rPr>
        <w:t xml:space="preserve">Dispute flag — </w:t>
      </w:r>
      <w:r>
        <w:t xml:space="preserve">the administrator marks the situation as an unresolvable dispute requiring resolution outside the platform. Ambagan does not act as a collection agency.</w:t>
      </w:r>
    </w:p>
    <w:p>
      <w:pPr>
        <w:pStyle w:val="Heading2"/>
        <w:spacing w:after="140" w:before="280"/>
      </w:pPr>
      <w:r>
        <w:t xml:space="preserve">8.3 Design Rationale</w:t>
      </w:r>
    </w:p>
    <w:p>
      <w:pPr>
        <w:spacing w:after="120" w:line="300"/>
      </w:pPr>
      <w:r>
        <w:t xml:space="preserve">The system deliberately makes pool impact visible to every member on the ledger. When a default is absorbed, each member sees the exact amount deducted from their notional share. This visibility is intended to make future loan votes more considered — members experience the cost of default personally, which strengthens the incentive to vote responsibly on loan requests. The system does not automate collection or enforcement; it only records, notifies, and coordinates. Enforcement, when needed, occurs through the community's existing social ties, which is consistent with how paluwagan trust actually operates.</w:t>
      </w:r>
    </w:p>
    <w:p>
      <w:r>
        <w:br w:type="page"/>
      </w:r>
    </w:p>
    <w:p>
      <w:pPr>
        <w:pStyle w:val="Heading1"/>
        <w:spacing w:after="180" w:before="360"/>
      </w:pPr>
      <w:r>
        <w:t xml:space="preserve">9. Out of Scope for the Initial Release</w:t>
      </w:r>
    </w:p>
    <w:p>
      <w:pPr>
        <w:spacing w:after="120" w:line="300"/>
      </w:pPr>
      <w:r>
        <w:t xml:space="preserve">The following features are deliberately excluded from the initial release. They are documented here to prevent scope creep and to communicate the platform's future roadmap.</w:t>
      </w:r>
    </w:p>
    <w:p>
      <w:pPr>
        <w:pStyle w:val="ListParagraph"/>
        <w:numPr>
          <w:ilvl w:val="0"/>
          <w:numId w:val="2"/>
        </w:numPr>
        <w:spacing w:after="80" w:line="300"/>
      </w:pPr>
      <w:r>
        <w:rPr>
          <w:b/>
          <w:bCs/>
        </w:rPr>
        <w:t xml:space="preserve">Native mobile applications — </w:t>
      </w:r>
      <w:r>
        <w:t xml:space="preserve">an Expo-based React Native mobile app is planned but not part of the initial release. Members access the platform through the mobile web browser.</w:t>
      </w:r>
    </w:p>
    <w:p>
      <w:pPr>
        <w:pStyle w:val="ListParagraph"/>
        <w:numPr>
          <w:ilvl w:val="0"/>
          <w:numId w:val="2"/>
        </w:numPr>
        <w:spacing w:after="80" w:line="300"/>
      </w:pPr>
      <w:r>
        <w:rPr>
          <w:b/>
          <w:bCs/>
        </w:rPr>
        <w:t xml:space="preserve">Public group discovery — </w:t>
      </w:r>
      <w:r>
        <w:t xml:space="preserve">all groups are strictly invite-only. There is no public directory, search, or feed of groups.</w:t>
      </w:r>
    </w:p>
    <w:p>
      <w:pPr>
        <w:pStyle w:val="ListParagraph"/>
        <w:numPr>
          <w:ilvl w:val="0"/>
          <w:numId w:val="2"/>
        </w:numPr>
        <w:spacing w:after="80" w:line="300"/>
      </w:pPr>
      <w:r>
        <w:rPr>
          <w:b/>
          <w:bCs/>
        </w:rPr>
        <w:t xml:space="preserve">Cross-group transfers — </w:t>
      </w:r>
      <w:r>
        <w:t xml:space="preserve">members cannot move funds between groups they belong to. Each group is a closed financial system.</w:t>
      </w:r>
    </w:p>
    <w:p>
      <w:pPr>
        <w:pStyle w:val="ListParagraph"/>
        <w:numPr>
          <w:ilvl w:val="0"/>
          <w:numId w:val="2"/>
        </w:numPr>
        <w:spacing w:after="80" w:line="300"/>
      </w:pPr>
      <w:r>
        <w:rPr>
          <w:b/>
          <w:bCs/>
        </w:rPr>
        <w:t xml:space="preserve">Real fiat integration — </w:t>
      </w:r>
      <w:r>
        <w:t xml:space="preserve">the initial release operates entirely on Stellar testnet with a custom test asset. Integration with a licensed anchor for real Philippine peso on-ramping and off-ramping is future work.</w:t>
      </w:r>
    </w:p>
    <w:p>
      <w:pPr>
        <w:pStyle w:val="ListParagraph"/>
        <w:numPr>
          <w:ilvl w:val="0"/>
          <w:numId w:val="2"/>
        </w:numPr>
        <w:spacing w:after="80" w:line="300"/>
      </w:pPr>
      <w:r>
        <w:rPr>
          <w:b/>
          <w:bCs/>
        </w:rPr>
        <w:t xml:space="preserve">SMS notifications — </w:t>
      </w:r>
      <w:r>
        <w:t xml:space="preserve">notifications are email and browser only. SMS support is planned for the mobile release.</w:t>
      </w:r>
    </w:p>
    <w:p>
      <w:pPr>
        <w:pStyle w:val="ListParagraph"/>
        <w:numPr>
          <w:ilvl w:val="0"/>
          <w:numId w:val="2"/>
        </w:numPr>
        <w:spacing w:after="80" w:line="300"/>
      </w:pPr>
      <w:r>
        <w:rPr>
          <w:b/>
          <w:bCs/>
        </w:rPr>
        <w:t xml:space="preserve">Cooperative registration workflow — </w:t>
      </w:r>
      <w:r>
        <w:t xml:space="preserve">the platform does not currently support formal cooperative registration under RA 9520. This is a future compliance path.</w:t>
      </w:r>
    </w:p>
    <w:p>
      <w:pPr>
        <w:pStyle w:val="ListParagraph"/>
        <w:numPr>
          <w:ilvl w:val="0"/>
          <w:numId w:val="2"/>
        </w:numPr>
        <w:spacing w:after="80" w:line="300"/>
      </w:pPr>
      <w:r>
        <w:rPr>
          <w:b/>
          <w:bCs/>
        </w:rPr>
        <w:t xml:space="preserve">Investment or yield products — </w:t>
      </w:r>
      <w:r>
        <w:t xml:space="preserve">the platform does not offer investment products, yield farming, or exposure to external DeFi protocols.</w:t>
      </w:r>
    </w:p>
    <w:p>
      <w:pPr>
        <w:pStyle w:val="ListParagraph"/>
        <w:numPr>
          <w:ilvl w:val="0"/>
          <w:numId w:val="2"/>
        </w:numPr>
        <w:spacing w:after="80" w:line="300"/>
      </w:pPr>
      <w:r>
        <w:rPr>
          <w:b/>
          <w:bCs/>
        </w:rPr>
        <w:t xml:space="preserve">Multi-administrator groups — </w:t>
      </w:r>
      <w:r>
        <w:t xml:space="preserve">each group has exactly one administrator at launch. Co-administration is planned for a future release.</w:t>
      </w:r>
    </w:p>
    <w:p>
      <w:pPr>
        <w:pStyle w:val="Heading1"/>
        <w:spacing w:after="180" w:before="360"/>
      </w:pPr>
      <w: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shd w:fill="1F3A5F" w:color="auto" w:val="clear"/>
            <w:tcMar>
              <w:top w:type="dxa" w:w="100"/>
              <w:left w:type="dxa" w:w="120"/>
              <w:bottom w:type="dxa" w:w="100"/>
              <w:right w:type="dxa" w:w="120"/>
            </w:tcMar>
          </w:tcPr>
          <w:p>
            <w:r>
              <w:rPr>
                <w:b/>
                <w:bCs/>
                <w:color w:val="FFFFFF"/>
                <w:sz w:val="20"/>
                <w:szCs w:val="20"/>
              </w:rPr>
              <w:t xml:space="preserve">Version</w:t>
            </w:r>
          </w:p>
        </w:tc>
        <w:tc>
          <w:tcPr>
            <w:tcW w:type="dxa" w:w="2000"/>
            <w:shd w:fill="1F3A5F" w:color="auto" w:val="clear"/>
            <w:tcMar>
              <w:top w:type="dxa" w:w="100"/>
              <w:left w:type="dxa" w:w="120"/>
              <w:bottom w:type="dxa" w:w="100"/>
              <w:right w:type="dxa" w:w="120"/>
            </w:tcMar>
          </w:tcPr>
          <w:p>
            <w:r>
              <w:rPr>
                <w:b/>
                <w:bCs/>
                <w:color w:val="FFFFFF"/>
                <w:sz w:val="20"/>
                <w:szCs w:val="20"/>
              </w:rPr>
              <w:t xml:space="preserve">Date</w:t>
            </w:r>
          </w:p>
        </w:tc>
        <w:tc>
          <w:tcPr>
            <w:tcW w:type="dxa" w:w="2500"/>
            <w:shd w:fill="1F3A5F" w:color="auto" w:val="clear"/>
            <w:tcMar>
              <w:top w:type="dxa" w:w="100"/>
              <w:left w:type="dxa" w:w="120"/>
              <w:bottom w:type="dxa" w:w="100"/>
              <w:right w:type="dxa" w:w="120"/>
            </w:tcMar>
          </w:tcPr>
          <w:p>
            <w:r>
              <w:rPr>
                <w:b/>
                <w:bCs/>
                <w:color w:val="FFFFFF"/>
                <w:sz w:val="20"/>
                <w:szCs w:val="20"/>
              </w:rPr>
              <w:t xml:space="preserve">Author</w:t>
            </w:r>
          </w:p>
        </w:tc>
        <w:tc>
          <w:tcPr>
            <w:tcW w:type="dxa" w:w="3360"/>
            <w:shd w:fill="1F3A5F" w:color="auto" w:val="clear"/>
            <w:tcMar>
              <w:top w:type="dxa" w:w="100"/>
              <w:left w:type="dxa" w:w="120"/>
              <w:bottom w:type="dxa" w:w="100"/>
              <w:right w:type="dxa" w:w="120"/>
            </w:tcMar>
          </w:tcPr>
          <w:p>
            <w:r>
              <w:rPr>
                <w:b/>
                <w:bCs/>
                <w:color w:val="FFFFFF"/>
                <w:sz w:val="20"/>
                <w:szCs w:val="20"/>
              </w:rPr>
              <w:t xml:space="preserve">Description</w:t>
            </w:r>
          </w:p>
        </w:tc>
      </w:tr>
      <w:tr>
        <w:tc>
          <w:tcPr>
            <w:tcW w:type="dxa" w:w="1500"/>
            <w:tcMar>
              <w:top w:type="dxa" w:w="90"/>
              <w:left w:type="dxa" w:w="120"/>
              <w:bottom w:type="dxa" w:w="90"/>
              <w:right w:type="dxa" w:w="120"/>
            </w:tcMar>
          </w:tcPr>
          <w:p>
            <w:r>
              <w:rPr>
                <w:b/>
                <w:bCs/>
                <w:sz w:val="20"/>
                <w:szCs w:val="20"/>
              </w:rPr>
              <w:t xml:space="preserve">1.0</w:t>
            </w:r>
          </w:p>
        </w:tc>
        <w:tc>
          <w:tcPr>
            <w:tcW w:type="dxa" w:w="2000"/>
            <w:tcMar>
              <w:top w:type="dxa" w:w="90"/>
              <w:left w:type="dxa" w:w="120"/>
              <w:bottom w:type="dxa" w:w="90"/>
              <w:right w:type="dxa" w:w="120"/>
            </w:tcMar>
          </w:tcPr>
          <w:p>
            <w:r>
              <w:rPr>
                <w:b w:val="false"/>
                <w:bCs w:val="false"/>
                <w:sz w:val="20"/>
                <w:szCs w:val="20"/>
              </w:rPr>
              <w:t xml:space="preserve">July 2026</w:t>
            </w:r>
          </w:p>
        </w:tc>
        <w:tc>
          <w:tcPr>
            <w:tcW w:type="dxa" w:w="2500"/>
            <w:tcMar>
              <w:top w:type="dxa" w:w="90"/>
              <w:left w:type="dxa" w:w="120"/>
              <w:bottom w:type="dxa" w:w="90"/>
              <w:right w:type="dxa" w:w="120"/>
            </w:tcMar>
          </w:tcPr>
          <w:p>
            <w:r>
              <w:rPr>
                <w:b w:val="false"/>
                <w:bCs w:val="false"/>
                <w:sz w:val="20"/>
                <w:szCs w:val="20"/>
              </w:rPr>
              <w:t xml:space="preserve">Gabrielle</w:t>
            </w:r>
          </w:p>
        </w:tc>
        <w:tc>
          <w:tcPr>
            <w:tcW w:type="dxa" w:w="3360"/>
            <w:tcMar>
              <w:top w:type="dxa" w:w="90"/>
              <w:left w:type="dxa" w:w="120"/>
              <w:bottom w:type="dxa" w:w="90"/>
              <w:right w:type="dxa" w:w="120"/>
            </w:tcMar>
          </w:tcPr>
          <w:p>
            <w:r>
              <w:rPr>
                <w:b w:val="false"/>
                <w:bCs w:val="false"/>
                <w:sz w:val="20"/>
                <w:szCs w:val="20"/>
              </w:rPr>
              <w:t xml:space="preserve">Initial SRS for Ambagan hackathon submission.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Ambagan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3A5F"/>
      <w:sz w:val="32"/>
      <w:szCs w:val="32"/>
    </w:rPr>
  </w:style>
  <w:style w:type="paragraph" w:styleId="Heading2">
    <w:name w:val="Heading 2"/>
    <w:basedOn w:val="Normal"/>
    <w:next w:val="Normal"/>
    <w:qFormat/>
    <w:pPr>
      <w:spacing w:after="140" w:before="280"/>
    </w:pPr>
    <w:rPr>
      <w:rFonts w:ascii="Calibri" w:cs="Calibri" w:eastAsia="Calibri" w:hAnsi="Calibri"/>
      <w:b/>
      <w:bCs/>
      <w:color w:val="2A4A6E"/>
      <w:sz w:val="26"/>
      <w:szCs w:val="26"/>
    </w:rPr>
  </w:style>
  <w:style w:type="paragraph" w:styleId="Heading3">
    <w:name w:val="Heading 3"/>
    <w:basedOn w:val="Normal"/>
    <w:next w:val="Normal"/>
    <w:qFormat/>
    <w:pPr>
      <w:spacing w:after="120" w:before="220"/>
    </w:pPr>
    <w:rPr>
      <w:rFonts w:ascii="Calibri" w:cs="Calibri" w:eastAsia="Calibri" w:hAnsi="Calibri"/>
      <w:b/>
      <w:bCs/>
      <w:color w:val="2A4A6E"/>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Ambagan SRS</dc:title>
  <dc:creator>Gabrielle</dc:creator>
  <dc:description>Software Requirements Specification for the Ambagan community savings and lending platform.</dc:description>
  <cp:lastModifiedBy>Un-named</cp:lastModifiedBy>
  <cp:revision>1</cp:revision>
  <dcterms:created xsi:type="dcterms:W3CDTF">2026-07-04T06:24:56.572Z</dcterms:created>
  <dcterms:modified xsi:type="dcterms:W3CDTF">2026-07-04T06:24:56.587Z</dcterms:modified>
</cp:coreProperties>
</file>

<file path=docProps/custom.xml><?xml version="1.0" encoding="utf-8"?>
<Properties xmlns="http://schemas.openxmlformats.org/officeDocument/2006/custom-properties" xmlns:vt="http://schemas.openxmlformats.org/officeDocument/2006/docPropsVTypes"/>
</file>