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33C11" w14:textId="1CD49A64" w:rsidR="006424E1" w:rsidRPr="006424E1" w:rsidRDefault="00032414" w:rsidP="006424E1">
      <w:pPr>
        <w:pStyle w:val="Title"/>
        <w:rPr>
          <w:rFonts w:asciiTheme="minorHAnsi" w:hAnsiTheme="minorHAnsi" w:cstheme="minorHAnsi"/>
          <w:b/>
          <w:bCs/>
          <w:sz w:val="40"/>
          <w:szCs w:val="40"/>
        </w:rPr>
      </w:pPr>
      <w:r w:rsidRPr="00032414">
        <w:rPr>
          <w:rFonts w:asciiTheme="minorHAnsi" w:hAnsiTheme="minorHAnsi" w:cstheme="minorHAnsi"/>
          <w:b/>
          <w:bCs/>
          <w:sz w:val="40"/>
          <w:szCs w:val="40"/>
        </w:rPr>
        <w:t xml:space="preserve">Validation and evaluation of TAMSAT-ALERT soil moisture: </w:t>
      </w:r>
      <w:r w:rsidR="00A64146">
        <w:rPr>
          <w:rFonts w:asciiTheme="minorHAnsi" w:hAnsiTheme="minorHAnsi" w:cstheme="minorHAnsi"/>
          <w:b/>
          <w:bCs/>
          <w:sz w:val="40"/>
          <w:szCs w:val="40"/>
        </w:rPr>
        <w:t>Lesotho</w:t>
      </w:r>
    </w:p>
    <w:p w14:paraId="4BE4A677" w14:textId="3CE5C90D" w:rsidR="00032414" w:rsidRDefault="00B86687" w:rsidP="00701471">
      <w:pPr>
        <w:spacing w:before="240" w:after="0"/>
      </w:pPr>
      <w:r>
        <w:rPr>
          <w:b/>
          <w:bCs/>
        </w:rPr>
        <w:t>Contact</w:t>
      </w:r>
      <w:r w:rsidR="006424E1" w:rsidRPr="006424E1">
        <w:rPr>
          <w:b/>
          <w:bCs/>
        </w:rPr>
        <w:t>:</w:t>
      </w:r>
      <w:r w:rsidR="00032414">
        <w:t xml:space="preserve"> Vicky Boult, Dept of Meteorology, University of Reading</w:t>
      </w:r>
      <w:r w:rsidR="00701471">
        <w:t xml:space="preserve"> (</w:t>
      </w:r>
      <w:hyperlink r:id="rId8" w:history="1">
        <w:r w:rsidR="00701471" w:rsidRPr="00701471">
          <w:rPr>
            <w:rStyle w:val="Hyperlink"/>
            <w:color w:val="595959" w:themeColor="text1" w:themeTint="A6"/>
          </w:rPr>
          <w:t>v.l.boult@reading.ac.uk</w:t>
        </w:r>
      </w:hyperlink>
      <w:r w:rsidR="00701471">
        <w:rPr>
          <w:color w:val="595959" w:themeColor="text1" w:themeTint="A6"/>
        </w:rPr>
        <w:t>)</w:t>
      </w:r>
    </w:p>
    <w:p w14:paraId="003A8259" w14:textId="6A6E3A4A" w:rsidR="00452F31" w:rsidRPr="00452F31" w:rsidRDefault="00452F31" w:rsidP="00452F31">
      <w:pPr>
        <w:pStyle w:val="Heading1"/>
        <w:rPr>
          <w:rFonts w:asciiTheme="minorHAnsi" w:hAnsiTheme="minorHAnsi" w:cstheme="minorHAnsi"/>
          <w:b/>
          <w:bCs/>
          <w:color w:val="auto"/>
          <w:sz w:val="28"/>
          <w:szCs w:val="28"/>
        </w:rPr>
      </w:pPr>
      <w:r w:rsidRPr="00452F31">
        <w:rPr>
          <w:rFonts w:asciiTheme="minorHAnsi" w:hAnsiTheme="minorHAnsi" w:cstheme="minorHAnsi"/>
          <w:b/>
          <w:bCs/>
          <w:color w:val="auto"/>
          <w:sz w:val="28"/>
          <w:szCs w:val="28"/>
        </w:rPr>
        <w:t>Introduction</w:t>
      </w:r>
    </w:p>
    <w:p w14:paraId="0CD37A37" w14:textId="0B0A2B0B" w:rsidR="00AE223D" w:rsidRDefault="00AE223D" w:rsidP="006424E1">
      <w:r>
        <w:t xml:space="preserve">In order to support drought risk management, operational drought monitoring and forecasting tools must: 1) estimate a metric which is relevant to the impacts of drought, 2) provide skilful estimates of drought within a timeframe which allows for actions to take place, and 3) include skill information on drought monitoring and forecasting to build users’ confidence and encourage an long-term perspective. </w:t>
      </w:r>
    </w:p>
    <w:p w14:paraId="381024D5" w14:textId="0431DBB9" w:rsidR="00F27BEB" w:rsidRDefault="00AE223D" w:rsidP="00F27BEB">
      <w:r>
        <w:t xml:space="preserve">Here, we assess the suitability of the TAMSAT-ALERT decision-support tool, which aims to provide early warnings of drought by exploiting the expected persistence of root-zone soil moisture anomalies </w:t>
      </w:r>
      <w:r w:rsidR="002A1FCA">
        <w:fldChar w:fldCharType="begin" w:fldLock="1"/>
      </w:r>
      <w:r w:rsidR="002A1FCA">
        <w:instrText>ADDIN CSL_CITATION {"citationItems":[{"id":"ITEM-1","itemData":{"DOI":"10.1002/wea.3033","ISSN":"14778696","abstract":"Approximately 886 million people in Africa rely on agriculture as their main means of survival. They are therefore susceptible to changes in seasonal rains from year to year that can result in agricultural drought. Agricultural drought is determined by low soil moisture content. Soil moisture responds to rainfall, but also depends on many other factors, including the soil characteristics and, crucially, on the past soil moisture. Here we demonstrate that predictive skill can be gained from knowledge of the current state of the land surface – how wet or dry the soil is – as the growing season evolves. This skill arises from the land surface memory – the soil moisture content at a particular time depends to a large extent on the historical soil moisture. By forcing a land surface model with observed data up to a ‘present day’ and then forward in time with climatological data (to represent the range of possible future conditions) we show that it is possible to be confident of an ensuing agricultural drought several weeks before the end of the growing season. This system is illustrated using results from an operational trial for Tamale in northern Ghana.","author":[{"dropping-particle":"","family":"Brown","given":"Matt","non-dropping-particle":"","parse-names":false,"suffix":""},{"dropping-particle":"","family":"Black","given":"Emily","non-dropping-particle":"","parse-names":false,"suffix":""},{"dropping-particle":"","family":"Asfaw","given":"Dagmawi","non-dropping-particle":"","parse-names":false,"suffix":""},{"dropping-particle":"","family":"Otu-Larbi","given":"Fred","non-dropping-particle":"","parse-names":false,"suffix":""}],"container-title":"Weather","id":"ITEM-1","issue":"7","issued":{"date-parts":[["2017","7","1"]]},"page":"201-205","publisher":"John Wiley and Sons Ltd","title":"Monitoring drought in Ghana using TAMSAT-ALERT: a new decision support system","type":"article-journal","volume":"72"},"uris":["http://www.mendeley.com/documents/?uuid=deea2b1f-4229-368e-859d-84b6786837c2"]}],"mendeley":{"formattedCitation":"(Brown &lt;i&gt;et al.&lt;/i&gt;, 2017)","plainTextFormattedCitation":"(Brown et al., 2017)","previouslyFormattedCitation":"(Brown &lt;i&gt;et al.&lt;/i&gt;, 2017)"},"properties":{"noteIndex":0},"schema":"https://github.com/citation-style-language/schema/raw/master/csl-citation.json"}</w:instrText>
      </w:r>
      <w:r w:rsidR="002A1FCA">
        <w:fldChar w:fldCharType="separate"/>
      </w:r>
      <w:r w:rsidR="002A1FCA" w:rsidRPr="002A1FCA">
        <w:rPr>
          <w:noProof/>
        </w:rPr>
        <w:t xml:space="preserve">(Brown </w:t>
      </w:r>
      <w:r w:rsidR="002A1FCA" w:rsidRPr="002A1FCA">
        <w:rPr>
          <w:i/>
          <w:noProof/>
        </w:rPr>
        <w:t>et al.</w:t>
      </w:r>
      <w:r w:rsidR="002A1FCA" w:rsidRPr="002A1FCA">
        <w:rPr>
          <w:noProof/>
        </w:rPr>
        <w:t>, 2017)</w:t>
      </w:r>
      <w:r w:rsidR="002A1FCA">
        <w:fldChar w:fldCharType="end"/>
      </w:r>
      <w:r>
        <w:t>.</w:t>
      </w:r>
      <w:r w:rsidR="00F27BEB" w:rsidRPr="00F27BEB">
        <w:t xml:space="preserve"> </w:t>
      </w:r>
      <w:r w:rsidR="008C7F46">
        <w:t>TAMSAT-ALERT (</w:t>
      </w:r>
      <w:r w:rsidR="00F27BEB" w:rsidRPr="00452F31">
        <w:t>T-A</w:t>
      </w:r>
      <w:r w:rsidR="008C7F46">
        <w:t>)</w:t>
      </w:r>
      <w:r w:rsidR="00F27BEB" w:rsidRPr="00452F31">
        <w:t xml:space="preserve"> provides daily estimates of soil moisture for all of Africa at a 0.25˚ resolution. The historic datasets begin in 1983, when the TAMSAT rainfall archive began </w:t>
      </w:r>
      <w:r w:rsidR="002A1FCA">
        <w:fldChar w:fldCharType="begin" w:fldLock="1"/>
      </w:r>
      <w:r w:rsidR="002A1FCA">
        <w:instrText>ADDIN CSL_CITATION {"citationItems":[{"id":"ITEM-1","itemData":{"DOI":"10.1038/sdata.2017.63","ISSN":"20524463","abstract":"Rainfall information is essential for many applications in developing countries, and yet, continually updated information at fine temporal and spatial scales is lacking. In Africa, rainfall monitoring is particularly important given the close relationship between climate and livelihoods. To address this information gap, this paper describes two versions (v2.0 and v3.0) of the TAMSAT daily rainfall dataset based on high-resolution thermal-infrared observations, available from 1983 to the present. The datasets are based on the disaggregation of 10-day (v2.0) and 5-day (v3.0) total TAMSAT rainfall estimates to a daily time-step using daily cold cloud duration. This approach provides temporally consistent historic and near-real time daily rainfall information for all of Africa. The estimates have been evaluated using ground-based observations from five countries with contrasting rainfall climates (Mozambique, Niger, Nigeria, Uganda, and Zambia) and compared to other satellite-based rainfall estimates. The results indicate that both versions of the TAMSAT daily estimates reliably detects rainy days, but have less skill in capturing rainfall amount - results that are comparable to the other datasets.","author":[{"dropping-particle":"","family":"Maidment","given":"Ross I.","non-dropping-particle":"","parse-names":false,"suffix":""},{"dropping-particle":"","family":"Grimes","given":"David","non-dropping-particle":"","parse-names":false,"suffix":""},{"dropping-particle":"","family":"Black","given":"Emily","non-dropping-particle":"","parse-names":false,"suffix":""},{"dropping-particle":"","family":"Tarnavsky","given":"Elena","non-dropping-particle":"","parse-names":false,"suffix":""},{"dropping-particle":"","family":"Young","given":"Matthew","non-dropping-particle":"","parse-names":false,"suffix":""},{"dropping-particle":"","family":"Greatrex","given":"Helen","non-dropping-particle":"","parse-names":false,"suffix":""},{"dropping-particle":"","family":"Allan","given":"Richard P.","non-dropping-particle":"","parse-names":false,"suffix":""},{"dropping-particle":"","family":"Stein","given":"Thorwald","non-dropping-particle":"","parse-names":false,"suffix":""},{"dropping-particle":"","family":"Nkonde","given":"Edson","non-dropping-particle":"","parse-names":false,"suffix":""},{"dropping-particle":"","family":"Senkunda","given":"Samuel","non-dropping-particle":"","parse-names":false,"suffix":""},{"dropping-particle":"","family":"Alcántara","given":"Edgar Misael Uribe","non-dropping-particle":"","parse-names":false,"suffix":""}],"container-title":"Scientific Data","id":"ITEM-1","issued":{"date-parts":[["2017"]]},"publisher":"The Author(s)","title":"A new, long-term daily satellite-based rainfall dataset for operational monitoring in Africa","type":"article-journal","volume":"4"},"uris":["http://www.mendeley.com/documents/?uuid=332b08f4-0a40-4171-aaf0-a2ca091dbd18"]}],"mendeley":{"formattedCitation":"(Maidment &lt;i&gt;et al.&lt;/i&gt;, 2017)","plainTextFormattedCitation":"(Maidment et al., 2017)","previouslyFormattedCitation":"(Maidment &lt;i&gt;et al.&lt;/i&gt;, 2017)"},"properties":{"noteIndex":0},"schema":"https://github.com/citation-style-language/schema/raw/master/csl-citation.json"}</w:instrText>
      </w:r>
      <w:r w:rsidR="002A1FCA">
        <w:fldChar w:fldCharType="separate"/>
      </w:r>
      <w:r w:rsidR="002A1FCA" w:rsidRPr="002A1FCA">
        <w:rPr>
          <w:noProof/>
        </w:rPr>
        <w:t xml:space="preserve">(Maidment </w:t>
      </w:r>
      <w:r w:rsidR="002A1FCA" w:rsidRPr="002A1FCA">
        <w:rPr>
          <w:i/>
          <w:noProof/>
        </w:rPr>
        <w:t>et al.</w:t>
      </w:r>
      <w:r w:rsidR="002A1FCA" w:rsidRPr="002A1FCA">
        <w:rPr>
          <w:noProof/>
        </w:rPr>
        <w:t>, 2017)</w:t>
      </w:r>
      <w:r w:rsidR="002A1FCA">
        <w:fldChar w:fldCharType="end"/>
      </w:r>
      <w:r w:rsidR="00F27BEB" w:rsidRPr="00452F31">
        <w:t xml:space="preserve">. Alongside the historic dataset, T-A importantly includes a forecasting system to predict soil moisture for a region and period of interest </w:t>
      </w:r>
      <w:r w:rsidR="002A1FCA">
        <w:fldChar w:fldCharType="begin" w:fldLock="1"/>
      </w:r>
      <w:r w:rsidR="007C6EF9">
        <w:instrText>ADDIN CSL_CITATION {"citationItems":[{"id":"ITEM-1","itemData":{"DOI":"10.5194/gmd-11-2353-2018","ISSN":"19919603","abstract":"Early warning of weather-related hazards enables farmers, policy makers and aid agencies to mitigate their exposure to risk. We present a new operational framework, Tropical Applications of Meteorology using SATellite data and ground based measurements-AgricuLtural EaRly warning sysTem (TAMSAT-ALERT), which aims to provide early warning for meteorological risk to agriculture. TAMSAT-ALERT combines information on land-surface properties, seasonal forecasts and historical weather to quantitatively assess the likelihood of adverse weather-related outcomes, such as low yield. This article describes the modular TAMSAT-ALERT framework and demonstrates its application to risk assessment for low maize yield in northern Ghana (Tamale). The modular design of TAMSAT-ALERT enables it to accommodate any impact or land-surface model driven with meteorological data. The implementation described here uses the well-established General Large Area Model (GLAM) for annual crops to provide probabilistic assessments of the meteorological hazard for maize yield in northern Ghana (Tamale) throughout the growing season. The results show that climatic risk to yield is poorly constrained in the beginning of the season, but as the season progresses, the uncertainty is rapidly reduced. Based on the assessment for the period 2002-2011, we show that TAMSAT-ALERT can estimate the meteorological risk on maize yield 6 to 8 weeks in advance of harvest. The TAMSAT-ALERT methodology implicitly weights forecast and observational inputs according to their relevance to the metric being assessed. A secondary application of TAMSAT-ALERT is thus an evaluation of the usefulness of meteorological forecast products for impact assessment. Here, we show that in northern Ghana (Tamale), the tercile seasonal forecasts of seasonal cumulative rainfall and mean temperature, which are routinely issued to farmers, are of limited value because regional and seasonal temperature and rainfall are poorly correlated with yield. This finding speaks to the pressing need for meteorological forecast products that are tailored for individual user applications.","author":[{"dropping-particle":"","family":"Asfaw","given":"Dagmawi","non-dropping-particle":"","parse-names":false,"suffix":""},{"dropping-particle":"","family":"Black","given":"Emily","non-dropping-particle":"","parse-names":false,"suffix":""},{"dropping-particle":"","family":"Brown","given":"Matthew","non-dropping-particle":"","parse-names":false,"suffix":""},{"dropping-particle":"","family":"Jane Nicklin","given":"Kathryn","non-dropping-particle":"","parse-names":false,"suffix":""},{"dropping-particle":"","family":"Otu-Larbi","given":"Frederick","non-dropping-particle":"","parse-names":false,"suffix":""},{"dropping-particle":"","family":"Pinnington","given":"Ewan","non-dropping-particle":"","parse-names":false,"suffix":""},{"dropping-particle":"","family":"Challinor","given":"Andrew","non-dropping-particle":"","parse-names":false,"suffix":""},{"dropping-particle":"","family":"Maidment","given":"Ross","non-dropping-particle":"","parse-names":false,"suffix":""},{"dropping-particle":"","family":"Quaife","given":"Tristan","non-dropping-particle":"","parse-names":false,"suffix":""}],"container-title":"Geoscientific Model Development","id":"ITEM-1","issue":"6","issued":{"date-parts":[["2018"]]},"page":"2353-2371","title":"TAMSAT-ALERT v1: A new framework for agricultural decision support","type":"article-journal","volume":"11"},"uris":["http://www.mendeley.com/documents/?uuid=c92407f7-0bf1-4c5d-9889-cab76998dc39"]}],"mendeley":{"formattedCitation":"(Asfaw &lt;i&gt;et al.&lt;/i&gt;, 2018)","plainTextFormattedCitation":"(Asfaw et al., 2018)","previouslyFormattedCitation":"(Asfaw &lt;i&gt;et al.&lt;/i&gt;, 2018)"},"properties":{"noteIndex":0},"schema":"https://github.com/citation-style-language/schema/raw/master/csl-citation.json"}</w:instrText>
      </w:r>
      <w:r w:rsidR="002A1FCA">
        <w:fldChar w:fldCharType="separate"/>
      </w:r>
      <w:r w:rsidR="002A1FCA" w:rsidRPr="002A1FCA">
        <w:rPr>
          <w:noProof/>
        </w:rPr>
        <w:t xml:space="preserve">(Asfaw </w:t>
      </w:r>
      <w:r w:rsidR="002A1FCA" w:rsidRPr="002A1FCA">
        <w:rPr>
          <w:i/>
          <w:noProof/>
        </w:rPr>
        <w:t>et al.</w:t>
      </w:r>
      <w:r w:rsidR="002A1FCA" w:rsidRPr="002A1FCA">
        <w:rPr>
          <w:noProof/>
        </w:rPr>
        <w:t>, 2018)</w:t>
      </w:r>
      <w:r w:rsidR="002A1FCA">
        <w:fldChar w:fldCharType="end"/>
      </w:r>
      <w:r w:rsidR="00F27BEB" w:rsidRPr="00452F31">
        <w:t>.</w:t>
      </w:r>
    </w:p>
    <w:p w14:paraId="66094589" w14:textId="7E4A63B8" w:rsidR="002552B7" w:rsidRDefault="002552B7" w:rsidP="00F27BEB">
      <w:r>
        <w:t xml:space="preserve">We examine the historic relationship between T-A soil moisture estimates and measures of </w:t>
      </w:r>
      <w:r w:rsidR="0011567D">
        <w:t>vegetation</w:t>
      </w:r>
      <w:r>
        <w:t xml:space="preserve"> producti</w:t>
      </w:r>
      <w:r w:rsidR="0011567D">
        <w:t>vity</w:t>
      </w:r>
      <w:r>
        <w:t xml:space="preserve">. In addition, we assess the skill of T-A forecasts in anticipating drought impacts at a range of lead-times throughout the growing season. </w:t>
      </w:r>
    </w:p>
    <w:p w14:paraId="08F80E90" w14:textId="42D185C7" w:rsidR="00452F31" w:rsidRDefault="00E56F29" w:rsidP="00452F31">
      <w:pPr>
        <w:pStyle w:val="Heading1"/>
      </w:pPr>
      <w:r>
        <w:rPr>
          <w:rFonts w:asciiTheme="minorHAnsi" w:hAnsiTheme="minorHAnsi" w:cstheme="minorHAnsi"/>
          <w:b/>
          <w:bCs/>
          <w:color w:val="auto"/>
          <w:sz w:val="28"/>
          <w:szCs w:val="28"/>
        </w:rPr>
        <w:t>Study r</w:t>
      </w:r>
      <w:r w:rsidR="00452F31" w:rsidRPr="00452F31">
        <w:rPr>
          <w:rFonts w:asciiTheme="minorHAnsi" w:hAnsiTheme="minorHAnsi" w:cstheme="minorHAnsi"/>
          <w:b/>
          <w:bCs/>
          <w:color w:val="auto"/>
          <w:sz w:val="28"/>
          <w:szCs w:val="28"/>
        </w:rPr>
        <w:t>egion</w:t>
      </w:r>
      <w:r w:rsidR="00452F31">
        <w:rPr>
          <w:rFonts w:asciiTheme="minorHAnsi" w:hAnsiTheme="minorHAnsi" w:cstheme="minorHAnsi"/>
          <w:b/>
          <w:bCs/>
          <w:color w:val="auto"/>
          <w:sz w:val="28"/>
          <w:szCs w:val="28"/>
        </w:rPr>
        <w:t xml:space="preserve">: </w:t>
      </w:r>
      <w:r w:rsidR="00A64146">
        <w:rPr>
          <w:rFonts w:asciiTheme="minorHAnsi" w:hAnsiTheme="minorHAnsi" w:cstheme="minorHAnsi"/>
          <w:b/>
          <w:bCs/>
          <w:color w:val="auto"/>
          <w:sz w:val="28"/>
          <w:szCs w:val="28"/>
        </w:rPr>
        <w:t>Lesotho</w:t>
      </w:r>
    </w:p>
    <w:p w14:paraId="694C9374" w14:textId="06E09584" w:rsidR="004712A8" w:rsidRDefault="004712A8" w:rsidP="00B57F08">
      <w:r>
        <w:t xml:space="preserve">This report details the evaluation and validation of T-A soil moisture for drought risk management in Lesotho. </w:t>
      </w:r>
    </w:p>
    <w:p w14:paraId="36DAFB50" w14:textId="169E81DF" w:rsidR="00525767" w:rsidRDefault="004712A8" w:rsidP="004712A8">
      <w:r>
        <w:t xml:space="preserve">The rainy season in Lesotho begins in October and continues through April the following calendar year (Figure 1). </w:t>
      </w:r>
      <w:r w:rsidRPr="005A66FD">
        <w:t xml:space="preserve">Mean total annual rainfall is widely below 800mm with the exception of </w:t>
      </w:r>
      <w:r>
        <w:t>the Maloti mountain region</w:t>
      </w:r>
      <w:r w:rsidRPr="005A66FD">
        <w:t>.</w:t>
      </w:r>
    </w:p>
    <w:p w14:paraId="503249C5" w14:textId="59E9018E" w:rsidR="00525767" w:rsidRDefault="00525767" w:rsidP="004712A8">
      <w:r>
        <w:rPr>
          <w:b/>
          <w:bCs/>
          <w:noProof/>
        </w:rPr>
        <mc:AlternateContent>
          <mc:Choice Requires="wps">
            <w:drawing>
              <wp:anchor distT="0" distB="0" distL="114300" distR="114300" simplePos="0" relativeHeight="251660288" behindDoc="1" locked="0" layoutInCell="1" allowOverlap="1" wp14:anchorId="49922F84" wp14:editId="6C68E989">
                <wp:simplePos x="0" y="0"/>
                <wp:positionH relativeFrom="margin">
                  <wp:posOffset>-85725</wp:posOffset>
                </wp:positionH>
                <wp:positionV relativeFrom="paragraph">
                  <wp:posOffset>91440</wp:posOffset>
                </wp:positionV>
                <wp:extent cx="6334125" cy="3276600"/>
                <wp:effectExtent l="0" t="0" r="28575" b="19050"/>
                <wp:wrapNone/>
                <wp:docPr id="19" name="Rectangle: Rounded Corners 19"/>
                <wp:cNvGraphicFramePr/>
                <a:graphic xmlns:a="http://schemas.openxmlformats.org/drawingml/2006/main">
                  <a:graphicData uri="http://schemas.microsoft.com/office/word/2010/wordprocessingShape">
                    <wps:wsp>
                      <wps:cNvSpPr/>
                      <wps:spPr>
                        <a:xfrm>
                          <a:off x="0" y="0"/>
                          <a:ext cx="6334125" cy="3276600"/>
                        </a:xfrm>
                        <a:prstGeom prst="roundRect">
                          <a:avLst>
                            <a:gd name="adj" fmla="val 5667"/>
                          </a:avLst>
                        </a:prstGeom>
                        <a:solidFill>
                          <a:schemeClr val="bg2"/>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E68741" id="Rectangle: Rounded Corners 19" o:spid="_x0000_s1026" style="position:absolute;margin-left:-6.75pt;margin-top:7.2pt;width:498.75pt;height:258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371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3yGwQIAABQGAAAOAAAAZHJzL2Uyb0RvYy54bWysVE1v2zAMvQ/YfxB0X+24SboGdYogRYcB&#10;XVu0HXpWZCn2IImapHzt15eS7STdim0YloNCmuQj+STy4nKrFVkL5xswJR2c5JQIw6FqzLKkX5+u&#10;P3ykxAdmKqbAiJLuhKeX0/fvLjZ2IgqoQVXCEQQxfrKxJa1DsJMs87wWmvkTsMKgUYLTLKDqllnl&#10;2AbRtcqKPB9nG3CVdcCF9/j1qjXSacKXUvBwJ6UXgaiSYm0hnS6di3hm0ws2WTpm64Z3ZbB/qEKz&#10;xmDSPdQVC4ysXPMLlG64Aw8ynHDQGUjZcJF6wG4G+U/dPNbMitQLkuPtnib//2D57frekabCuzun&#10;xDCNd/SArDGzVGJCHmBlKlGROTiDl0zQCRnbWD/BwEd77zrNoxjb30qn4z82RraJ5d2eZbENhOPH&#10;8enpcFCMKOFoOy3OxuM83UN2CLfOh08CNIlCSV2sIlaVKGbrGx8S11VXMKu+USK1wptbM0VG4/FZ&#10;LBMBO1+UesgY6EE11XWjVFLiUxNz5QjGlnSxLLrYV17K/E1g9FEr/QWqFmyU46+H6/Okwo7AsbiI&#10;nkVWWx6TFHZKJDzzICTeEDJXpP7TbBwKZpwLEwatqWaV+FNqFQEjskQG9tgdQF9kC9Jjt2R2/jFU&#10;pNHaB+e/K6wN3kekzGDCPlg3BtxbAAq76jK3/j1JLTWRpQVUO3y/DtrB9pZfN/hkbpgP98zhe8CZ&#10;x+0U7vCQCjYlhU6ipAb3463v0R8HDK2UbHAzlNR/XzEnKFGfDY7e+WA4jKskKcPRWYGKO7Ysji1m&#10;peeA72qAe9DyJEb/oHpROtDPuMRmMSuamOGYu6Q8uF6Zh3Zj4RrkYjZLbrg+LAs35tHyCB5ZjU/8&#10;afvMnO3mJuDI3UK/RbppaBk9+MZIA7NVANmEaDzw2im4elB6tduO9eR1WObTFwAAAP//AwBQSwME&#10;FAAGAAgAAAAhAGQBp9HfAAAACgEAAA8AAABkcnMvZG93bnJldi54bWxMj8tOwzAQRfdI/IM1SOxa&#10;O21alRCnAkSRkLqh8AFuPMRp/Yhstw1/z7Ciy9E9unNuvR6dZWeMqQ9eQjEVwNC3Qfe+k/D1uZms&#10;gKWsvFY2eJTwgwnWze1NrSodLv4Dz7vcMSrxqVISTM5DxXlqDTqVpmFAT9l3iE5lOmPHdVQXKneW&#10;z4RYcqd6Tx+MGvDFYHvcnZyE7Wb7+vYej7NRPS9FgbY9mEOS8v5ufHoElnHM/zD86ZM6NOS0Dyev&#10;E7MSJsV8QSgFZQmMgIdVSeP2EhZzUQJvan49ofkFAAD//wMAUEsBAi0AFAAGAAgAAAAhALaDOJL+&#10;AAAA4QEAABMAAAAAAAAAAAAAAAAAAAAAAFtDb250ZW50X1R5cGVzXS54bWxQSwECLQAUAAYACAAA&#10;ACEAOP0h/9YAAACUAQAACwAAAAAAAAAAAAAAAAAvAQAAX3JlbHMvLnJlbHNQSwECLQAUAAYACAAA&#10;ACEAxNd8hsECAAAUBgAADgAAAAAAAAAAAAAAAAAuAgAAZHJzL2Uyb0RvYy54bWxQSwECLQAUAAYA&#10;CAAAACEAZAGn0d8AAAAKAQAADwAAAAAAAAAAAAAAAAAbBQAAZHJzL2Rvd25yZXYueG1sUEsFBgAA&#10;AAAEAAQA8wAAACcGAAAAAA==&#10;" fillcolor="#e7e6e6 [3214]" strokecolor="#747070 [1614]" strokeweight="1pt">
                <v:stroke joinstyle="miter"/>
                <w10:wrap anchorx="margin"/>
              </v:roundrect>
            </w:pict>
          </mc:Fallback>
        </mc:AlternateContent>
      </w:r>
    </w:p>
    <w:p w14:paraId="2A8B39A0" w14:textId="313AC6A1" w:rsidR="004712A8" w:rsidRDefault="004712A8" w:rsidP="00525767">
      <w:pPr>
        <w:jc w:val="center"/>
      </w:pPr>
      <w:r>
        <w:rPr>
          <w:noProof/>
        </w:rPr>
        <w:drawing>
          <wp:inline distT="0" distB="0" distL="0" distR="0" wp14:anchorId="2443D4AF" wp14:editId="3FC8106D">
            <wp:extent cx="5857946" cy="227647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13292" cy="2297983"/>
                    </a:xfrm>
                    <a:prstGeom prst="rect">
                      <a:avLst/>
                    </a:prstGeom>
                    <a:noFill/>
                  </pic:spPr>
                </pic:pic>
              </a:graphicData>
            </a:graphic>
          </wp:inline>
        </w:drawing>
      </w:r>
    </w:p>
    <w:p w14:paraId="3A2E7B7A" w14:textId="52192F13" w:rsidR="004712A8" w:rsidRDefault="004712A8" w:rsidP="004712A8">
      <w:r w:rsidRPr="005A66FD">
        <w:rPr>
          <w:b/>
          <w:bCs/>
        </w:rPr>
        <w:t xml:space="preserve">Figure </w:t>
      </w:r>
      <w:r>
        <w:rPr>
          <w:b/>
          <w:bCs/>
        </w:rPr>
        <w:t>1</w:t>
      </w:r>
      <w:r w:rsidRPr="005A66FD">
        <w:rPr>
          <w:b/>
          <w:bCs/>
        </w:rPr>
        <w:t>.</w:t>
      </w:r>
      <w:r>
        <w:t xml:space="preserve"> The distribution of rainfall in space and time. In Lesotho, </w:t>
      </w:r>
      <w:r w:rsidRPr="005E00EC">
        <w:t xml:space="preserve">rainfall is largely restricted to </w:t>
      </w:r>
      <w:r>
        <w:t xml:space="preserve">the rainy season, beginning in October and ending in April. </w:t>
      </w:r>
      <w:r w:rsidRPr="005A66FD">
        <w:t xml:space="preserve">Rainfall data from TAMSAT version 3.0 (Maidment et al., 2017). On </w:t>
      </w:r>
      <w:r>
        <w:t xml:space="preserve">the </w:t>
      </w:r>
      <w:r w:rsidRPr="005A66FD">
        <w:t>map, grey shaded areas mask surrounding countries.</w:t>
      </w:r>
    </w:p>
    <w:p w14:paraId="03261C41" w14:textId="7D5F80A3" w:rsidR="0031571A" w:rsidRDefault="004712A8" w:rsidP="002C4490">
      <w:r>
        <w:lastRenderedPageBreak/>
        <w:t>In Lesotho, maize provides a staple source of food for much of the population. In addition, Lesotho has a substantial pastoral community, which depends on available pasture to support grazing livestock. Agricultural systems are predominantly rainfed, so crop and pasture production are limited to the rainy season</w:t>
      </w:r>
      <w:r w:rsidR="002C4490">
        <w:t xml:space="preserve"> (Figure 2)</w:t>
      </w:r>
      <w:r>
        <w:t xml:space="preserve">. </w:t>
      </w:r>
      <w:r w:rsidR="006530F0">
        <w:t xml:space="preserve">We therefore assessed the relationship between T-A soil moisture and </w:t>
      </w:r>
      <w:r w:rsidR="0011567D">
        <w:t>vegetation</w:t>
      </w:r>
      <w:r w:rsidR="006530F0">
        <w:t xml:space="preserve"> production for the key growing season spanning January to April.  </w:t>
      </w:r>
    </w:p>
    <w:p w14:paraId="5EC5741D" w14:textId="42E9A065" w:rsidR="004D6596" w:rsidRDefault="00BE0EA2" w:rsidP="00B57F08">
      <w:r w:rsidRPr="001B73F0">
        <w:rPr>
          <w:b/>
          <w:bCs/>
          <w:noProof/>
        </w:rPr>
        <w:drawing>
          <wp:anchor distT="0" distB="0" distL="114300" distR="114300" simplePos="0" relativeHeight="251658240" behindDoc="0" locked="0" layoutInCell="1" allowOverlap="1" wp14:anchorId="1B12BD63" wp14:editId="17BB20CE">
            <wp:simplePos x="0" y="0"/>
            <wp:positionH relativeFrom="margin">
              <wp:align>left</wp:align>
            </wp:positionH>
            <wp:positionV relativeFrom="paragraph">
              <wp:posOffset>139065</wp:posOffset>
            </wp:positionV>
            <wp:extent cx="2143125" cy="16859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1685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mc:AlternateContent>
          <mc:Choice Requires="wps">
            <w:drawing>
              <wp:anchor distT="0" distB="0" distL="114300" distR="114300" simplePos="0" relativeHeight="251657215" behindDoc="1" locked="0" layoutInCell="1" allowOverlap="1" wp14:anchorId="7D99BABA" wp14:editId="4112144D">
                <wp:simplePos x="0" y="0"/>
                <wp:positionH relativeFrom="margin">
                  <wp:align>center</wp:align>
                </wp:positionH>
                <wp:positionV relativeFrom="paragraph">
                  <wp:posOffset>53340</wp:posOffset>
                </wp:positionV>
                <wp:extent cx="6362700" cy="1905000"/>
                <wp:effectExtent l="0" t="0" r="19050" b="19050"/>
                <wp:wrapNone/>
                <wp:docPr id="18" name="Rectangle: Rounded Corners 18"/>
                <wp:cNvGraphicFramePr/>
                <a:graphic xmlns:a="http://schemas.openxmlformats.org/drawingml/2006/main">
                  <a:graphicData uri="http://schemas.microsoft.com/office/word/2010/wordprocessingShape">
                    <wps:wsp>
                      <wps:cNvSpPr/>
                      <wps:spPr>
                        <a:xfrm>
                          <a:off x="0" y="0"/>
                          <a:ext cx="6362700" cy="1905000"/>
                        </a:xfrm>
                        <a:prstGeom prst="roundRect">
                          <a:avLst>
                            <a:gd name="adj" fmla="val 5667"/>
                          </a:avLst>
                        </a:prstGeom>
                        <a:solidFill>
                          <a:schemeClr val="bg2"/>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81D214" id="Rectangle: Rounded Corners 18" o:spid="_x0000_s1026" style="position:absolute;margin-left:0;margin-top:4.2pt;width:501pt;height:150pt;z-index:-25165926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371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aLQvwIAABQGAAAOAAAAZHJzL2Uyb0RvYy54bWysVN9vEzEMfkfif4jyzu5ato6ddp2qTkNI&#10;Y6u2oT2nuaQ9lMQhSXstfz1O7kc7mAAhXnLx2f5sf3Z8ebXTimyF8zWYko5OckqE4VDVZlXSL083&#10;7z5Q4gMzFVNgREn3wtOr6ds3l40txBjWoCrhCIIYXzS2pOsQbJFlnq+FZv4ErDColOA0Cyi6VVY5&#10;1iC6Vtk4zydZA66yDrjwHv9et0o6TfhSCh7upfQiEFVSzC2k06VzGc9sesmKlWN2XfMuDfYPWWhW&#10;Gww6QF2zwMjG1b9A6Zo78CDDCQedgZQ1F6kGrGaU/1TN45pZkWpBcrwdaPL/D5bfbReO1BX2Djtl&#10;mMYePSBrzKyUKMgDbEwlKjIHZ7DJBI2Qscb6Ah0f7cJ1ksdrLH8nnY5fLIzsEsv7gWWxC4Tjz8n7&#10;yfg8x2Zw1I0u8rMcBcTJDu7W+fBRgCbxUlIXs4hZJYrZ9taHxHXVJcyqr5RIrbBzW6bI2WRy3gF2&#10;tgjdQ0ZHD6qubmqlkhBHTcyVI+hb0uVq3Pm+sFLmbxyjjdroz1C1YLG0vrY00jFOqvQIHJOL6Flk&#10;teUx3cJeiYRnHoTEDiFz41T/ANTGYJwLE0atas0q8afQKgJGZIkMDNgdwEsyeuy2O519dBXpaQ3O&#10;+e8Sa50HjxQZTBicdW3AvQagsKoucmvfk9RSE1laQrXH+XXQPmxv+U2NI3PLfFgwh/OAY4bbKdzj&#10;IRU0JYXuRska3PfX/kd7fGCopaTBzVBS/23DnKBEfTL49C5Gp6dxlSTh9Ox8jII71iyPNWaj54Bz&#10;NcI9aHm6Rvug+qt0oJ9xic1iVFQxwzF2SXlwvTAP7cbCNcjFbJbMcH1YFm7No+URPLIaR/xp98yc&#10;7d5NwCd3B/0WYUV6DS2jB9voaWC2CSDrEJUHXjsBVw/eXuy2YzlZHZb59AcAAAD//wMAUEsDBBQA&#10;BgAIAAAAIQCiHE9L2gAAAAcBAAAPAAAAZHJzL2Rvd25yZXYueG1sTI/BTsMwEETvSPyDtUjcqN2A&#10;qipkUwGiSEi9UPgAN17itPY6st02/D3uCY4zs5p526wm78SJYhoCI8xnCgRxF8zAPcLX5/puCSJl&#10;zUa7wITwQwlW7fVVo2sTzvxBp23uRSnhVGsEm/NYS5k6S16nWRiJS/Ydote5yNhLE/W5lHsnK6UW&#10;0uuBy4LVI71Y6g7bo0fYrDevb+/xUE36eaHm5Lq93SfE25vp6RFEpin/HcMFv6BDW5h24cgmCYdQ&#10;HskIywcQl1Cpqhg7hHtVLNk28j9/+wsAAP//AwBQSwECLQAUAAYACAAAACEAtoM4kv4AAADhAQAA&#10;EwAAAAAAAAAAAAAAAAAAAAAAW0NvbnRlbnRfVHlwZXNdLnhtbFBLAQItABQABgAIAAAAIQA4/SH/&#10;1gAAAJQBAAALAAAAAAAAAAAAAAAAAC8BAABfcmVscy8ucmVsc1BLAQItABQABgAIAAAAIQB8naLQ&#10;vwIAABQGAAAOAAAAAAAAAAAAAAAAAC4CAABkcnMvZTJvRG9jLnhtbFBLAQItABQABgAIAAAAIQCi&#10;HE9L2gAAAAcBAAAPAAAAAAAAAAAAAAAAABkFAABkcnMvZG93bnJldi54bWxQSwUGAAAAAAQABADz&#10;AAAAIAYAAAAA&#10;" fillcolor="#e7e6e6 [3214]" strokecolor="#747070 [1614]" strokeweight="1pt">
                <v:stroke joinstyle="miter"/>
                <w10:wrap anchorx="margin"/>
              </v:roundrect>
            </w:pict>
          </mc:Fallback>
        </mc:AlternateContent>
      </w:r>
    </w:p>
    <w:p w14:paraId="35B16AF7" w14:textId="596935FE" w:rsidR="00A64146" w:rsidRDefault="004D6596" w:rsidP="00B57F08">
      <w:r w:rsidRPr="001B73F0">
        <w:rPr>
          <w:b/>
          <w:bCs/>
        </w:rPr>
        <w:t xml:space="preserve">Figure </w:t>
      </w:r>
      <w:r w:rsidR="002C4490">
        <w:rPr>
          <w:b/>
          <w:bCs/>
        </w:rPr>
        <w:t>2</w:t>
      </w:r>
      <w:r w:rsidRPr="001B73F0">
        <w:rPr>
          <w:b/>
          <w:bCs/>
        </w:rPr>
        <w:t>.</w:t>
      </w:r>
      <w:r>
        <w:t xml:space="preserve"> FAO crop calendar </w:t>
      </w:r>
      <w:r w:rsidR="001B73F0">
        <w:t xml:space="preserve">outlining the key sowing, growing and harvesting period for food crops in Lesotho. </w:t>
      </w:r>
      <w:r w:rsidR="00481691">
        <w:t>Source: FAO, 2020 (</w:t>
      </w:r>
      <w:hyperlink r:id="rId11" w:history="1">
        <w:r w:rsidR="00481691" w:rsidRPr="002C7E3F">
          <w:rPr>
            <w:rStyle w:val="Hyperlink"/>
            <w:color w:val="595959" w:themeColor="text1" w:themeTint="A6"/>
          </w:rPr>
          <w:t>available online</w:t>
        </w:r>
      </w:hyperlink>
      <w:r w:rsidR="00481691">
        <w:t>).</w:t>
      </w:r>
    </w:p>
    <w:p w14:paraId="3241FD15" w14:textId="6DDA4299" w:rsidR="0006677E" w:rsidRDefault="0006677E" w:rsidP="00B57F08"/>
    <w:p w14:paraId="3EC8E7A1" w14:textId="3C6AEE9E" w:rsidR="0006677E" w:rsidRDefault="0006677E" w:rsidP="00B57F08"/>
    <w:p w14:paraId="6D510926" w14:textId="464B65F7" w:rsidR="0006677E" w:rsidRDefault="0006677E" w:rsidP="00B57F08"/>
    <w:p w14:paraId="57BD3600" w14:textId="1D2F341C" w:rsidR="00525767" w:rsidRDefault="00525767" w:rsidP="00B57F08"/>
    <w:p w14:paraId="6692170E" w14:textId="7A267C1D" w:rsidR="009207A9" w:rsidRPr="009207A9" w:rsidRDefault="00441352" w:rsidP="009207A9">
      <w:pPr>
        <w:pStyle w:val="Heading1"/>
        <w:rPr>
          <w:rFonts w:asciiTheme="minorHAnsi" w:hAnsiTheme="minorHAnsi" w:cstheme="minorHAnsi"/>
          <w:b/>
          <w:bCs/>
          <w:color w:val="auto"/>
          <w:sz w:val="28"/>
          <w:szCs w:val="28"/>
        </w:rPr>
      </w:pPr>
      <w:r>
        <w:rPr>
          <w:rFonts w:asciiTheme="minorHAnsi" w:hAnsiTheme="minorHAnsi" w:cstheme="minorHAnsi"/>
          <w:b/>
          <w:bCs/>
          <w:color w:val="auto"/>
          <w:sz w:val="28"/>
          <w:szCs w:val="28"/>
        </w:rPr>
        <w:t>TAMSAT-ALERT</w:t>
      </w:r>
    </w:p>
    <w:p w14:paraId="34B97399" w14:textId="1A1778C3" w:rsidR="00AA594A" w:rsidRDefault="009207A9" w:rsidP="00441352">
      <w:r>
        <w:t xml:space="preserve">The TAMSAT-ALERT (Tropical Applications of Meteorology using SATellite data – AgriculturaL Early waRning sysTem) considers the </w:t>
      </w:r>
      <w:r w:rsidRPr="00AA594A">
        <w:t>(1) historical weather conditions, (2)</w:t>
      </w:r>
      <w:r>
        <w:t xml:space="preserve"> current</w:t>
      </w:r>
      <w:r w:rsidRPr="00AA594A">
        <w:t xml:space="preserve"> state of the land surface, (3) evolution of the growing season and (4) meteorological forecast</w:t>
      </w:r>
      <w:r w:rsidRPr="009207A9">
        <w:t xml:space="preserve"> </w:t>
      </w:r>
      <w:r w:rsidRPr="00AA594A">
        <w:t>to assess</w:t>
      </w:r>
      <w:r>
        <w:t xml:space="preserve"> </w:t>
      </w:r>
      <w:r w:rsidRPr="00AA594A">
        <w:t>the risk of meteorological hazards</w:t>
      </w:r>
      <w:r>
        <w:t xml:space="preserve"> (e.g. drought). </w:t>
      </w:r>
    </w:p>
    <w:p w14:paraId="2953D733" w14:textId="53D6E2ED" w:rsidR="009207A9" w:rsidRDefault="009207A9" w:rsidP="00441352">
      <w:r w:rsidRPr="009207A9">
        <w:t xml:space="preserve">Historical meteorological variables are used to drive </w:t>
      </w:r>
      <w:r>
        <w:t>a</w:t>
      </w:r>
      <w:r w:rsidRPr="009207A9">
        <w:t xml:space="preserve"> land-surface model, to produce a historical time series of land-surface variables</w:t>
      </w:r>
      <w:r>
        <w:t xml:space="preserve"> (including soil moisture)</w:t>
      </w:r>
      <w:r w:rsidRPr="009207A9">
        <w:t>. The historical timeseries of land-surface metrics provides a climatology of land-surface metrics for the period of interest. Historical meteorological variables are used to construct the climatological ensemble of meteorological variables. The initial conditions of the land-surface model are estimated from the historical run. Using each of the climatological ensembles of meteorological variables, the land-surface model is driven forward in time to produce an ensemble time series of future land-surface conditions. Combining the historical time series and ensemble of future land-surface variables, an ensemble of the land-surface metric of interest can be derived for the whole period (incorporating the historic or observed period and the forecast period). The ensemble can be weighted based on a related meteorological forecast. Considering both the historical and ensemble time series, the likelihood of an adverse event</w:t>
      </w:r>
      <w:r>
        <w:t xml:space="preserve"> (e.g. drought)</w:t>
      </w:r>
      <w:r w:rsidRPr="009207A9">
        <w:t xml:space="preserve"> can be estimated.</w:t>
      </w:r>
    </w:p>
    <w:p w14:paraId="07BCE6D5" w14:textId="5B8E0327" w:rsidR="009207A9" w:rsidRDefault="009207A9" w:rsidP="00441352">
      <w:r>
        <w:t xml:space="preserve">Full details of the T-A system are documented in Boult et al. (in review). </w:t>
      </w:r>
    </w:p>
    <w:p w14:paraId="21EE2D40" w14:textId="730D837B" w:rsidR="004B3A0D" w:rsidRPr="004B3A0D" w:rsidRDefault="009A2300" w:rsidP="004B3A0D">
      <w:pPr>
        <w:pStyle w:val="Heading1"/>
        <w:rPr>
          <w:rFonts w:asciiTheme="minorHAnsi" w:hAnsiTheme="minorHAnsi" w:cstheme="minorHAnsi"/>
          <w:b/>
          <w:bCs/>
          <w:color w:val="auto"/>
          <w:sz w:val="28"/>
          <w:szCs w:val="28"/>
        </w:rPr>
      </w:pPr>
      <w:r>
        <w:rPr>
          <w:rFonts w:asciiTheme="minorHAnsi" w:hAnsiTheme="minorHAnsi" w:cstheme="minorHAnsi"/>
          <w:b/>
          <w:bCs/>
          <w:color w:val="auto"/>
          <w:sz w:val="28"/>
          <w:szCs w:val="28"/>
        </w:rPr>
        <w:t>Validation data</w:t>
      </w:r>
    </w:p>
    <w:p w14:paraId="494AC30C" w14:textId="3E1592EA" w:rsidR="004B3A0D" w:rsidRPr="004B3A0D" w:rsidRDefault="0011567D" w:rsidP="004B3A0D">
      <w:pPr>
        <w:pStyle w:val="Heading2"/>
        <w:rPr>
          <w:rFonts w:asciiTheme="minorHAnsi" w:hAnsiTheme="minorHAnsi" w:cstheme="minorHAnsi"/>
          <w:i/>
          <w:iCs/>
          <w:color w:val="auto"/>
          <w:sz w:val="22"/>
          <w:szCs w:val="22"/>
        </w:rPr>
      </w:pPr>
      <w:r>
        <w:rPr>
          <w:rFonts w:asciiTheme="minorHAnsi" w:hAnsiTheme="minorHAnsi" w:cstheme="minorHAnsi"/>
          <w:i/>
          <w:iCs/>
          <w:color w:val="auto"/>
          <w:sz w:val="22"/>
          <w:szCs w:val="22"/>
        </w:rPr>
        <w:t>Vegetation productivity</w:t>
      </w:r>
    </w:p>
    <w:p w14:paraId="5429722F" w14:textId="69BEDE1D" w:rsidR="004B3A0D" w:rsidRDefault="004B3A0D" w:rsidP="004B3A0D">
      <w:r>
        <w:t xml:space="preserve">Historic measures of </w:t>
      </w:r>
      <w:r w:rsidR="0011567D">
        <w:t>vegetation productivity</w:t>
      </w:r>
      <w:r>
        <w:t xml:space="preserve"> were obtained from the Global Inventory Monitoring and Modelling System (GIMMS) project’s Normalised Difference Vegetation Index (NDVI). NDVI correlates closely with ground-based measures of vegetation dynamics including biomass, net primary productivity and leaf area index </w:t>
      </w:r>
      <w:r w:rsidR="003172BA">
        <w:fldChar w:fldCharType="begin" w:fldLock="1"/>
      </w:r>
      <w:r w:rsidR="007C6EF9">
        <w:instrText>ADDIN CSL_CITATION {"citationItems":[{"id":"ITEM-1","itemData":{"author":[{"dropping-particle":"","family":"Pettorelli","given":"N.","non-dropping-particle":"","parse-names":false,"suffix":""},{"dropping-particle":"","family":"Vik","given":"J.O.","non-dropping-particle":"","parse-names":false,"suffix":""},{"dropping-particle":"","family":"Mysterud","given":"A.","non-dropping-particle":"","parse-names":false,"suffix":""},{"dropping-particle":"","family":"Gaillard","given":"J.M.","non-dropping-particle":"","parse-names":false,"suffix":""},{"dropping-particle":"","family":"Tucker","given":"C.J.","non-dropping-particle":"","parse-names":false,"suffix":""},{"dropping-particle":"","family":"Stenseth","given":"N.C.","non-dropping-particle":"","parse-names":false,"suffix":""}],"container-title":"Trends in Ecology &amp; Evolution","id":"ITEM-1","issue":"9","issued":{"date-parts":[["2005"]]},"page":"503-510","title":"Using the satellite-derived NDVI to assess ecological responses to environmental change","type":"article-journal","volume":"20"},"uris":["http://www.mendeley.com/documents/?uuid=e16b8820-7df9-463a-80bc-8fa69b1f112a"]},{"id":"ITEM-2","itemData":{"DOI":"10.1126/science.227.4685.369","ISBN":"00368075","ISSN":"0036-8075, 1095-9203","PMID":"17815712","abstract":"Data from the advanced very-high-resolution radiometer sensor on the National Oceanic and Atmospheric Administration's operational series of meteorological satellites were used to classify land cover and monitor vegetation dynamics for Africa over a 19-month period. There was a correspondence between seasonal variations in the density and extent of green-leaf vegetation and the patterns of rainfall associated with the movement of the Intertropical Convergence Zone. Regional variations, such as the 1983 drought in the Sahel of westem Africa, were observed. Integration of the weekly satellite data with respect to time for a 12-month period produced a remotely sensed estimate of primary production based upon the density and duration of green-leaf biomass. Eight of the 21-day composited data sets covering an 11-month period were used to produce a general land-cover classification that corresponded well with those of existing maps.","author":[{"dropping-particle":"","family":"Tucker","given":"Compton J.","non-dropping-particle":"","parse-names":false,"suffix":""},{"dropping-particle":"","family":"Townshend","given":"John R. G.","non-dropping-particle":"","parse-names":false,"suffix":""},{"dropping-particle":"","family":"Goff","given":"Thomas E.","non-dropping-particle":"","parse-names":false,"suffix":""}],"container-title":"Science","id":"ITEM-2","issue":"4685","issued":{"date-parts":[["1985"]]},"page":"369-375","title":"African Land-Cover Classification Using Satellite Data","type":"article-journal","volume":"227"},"uris":["http://www.mendeley.com/documents/?uuid=dda09a95-1d50-4b3a-96b5-f3c5d7172c9b"]},{"id":"ITEM-3","itemData":{"DOI":"10.2307/3235884","ISSN":"11009233","abstract":"Vegetation phenological phenomena are closely related to seasonal dynamics of the lower atmosphere and are therefore important elements in global models and vegetation monitoring. Normalized difference vegetation index (NDVI) data derived from the National Oceanic and Atmospheric Administration's Advanced Very High Resolution Radiometer (AVHRR) satellite sensor offer a means of efficiently and objectively evaluating phenological characteristics over large areas. Twelve metrics linked to key phenological events were computed based on time-series NDVI data collected from 1989 to 1992 over the conterminous United States. These measures include the onset of greenness, time of peak NDVI, maximum NDVI, rate of greenup, rate of senescence, and integrated NDVI. Measures of central tendency and variability of the measures were computed and analyzed for various land cover types. Results from the analysis showed strong coincidence between the satellite-derived metrics and predicted phenological characteristics. In particular, the metrics identified interannual variability of spring wheat in North Dakota, characterized the phenology of four types of grasslands, and established the phenological consistency of deciduous and coniferous forests. These results have implications for large-area land cover mapping and monitoring. The utility of remotely sensed data as input to vegetation mapping is demonstrated by showing the distinct phenology of several land cover types. More stable information contained in ancillary data should be incorporated into the mapping process, particularly in areas with high phenological variability. In a regional or global monitoring system, an increase in variability in a region may serve as a signal to perform more detailed land cover analysis with higher resolution imagery.","author":[{"dropping-particle":"","family":"Reed","given":"B.C.","non-dropping-particle":"","parse-names":false,"suffix":""},{"dropping-particle":"","family":"Brown","given":"J.F.","non-dropping-particle":"","parse-names":false,"suffix":""},{"dropping-particle":"","family":"VanderZee","given":"D.","non-dropping-particle":"","parse-names":false,"suffix":""},{"dropping-particle":"","family":"Loveland","given":"T.R.","non-dropping-particle":"","parse-names":false,"suffix":""},{"dropping-particle":"","family":"Merchant","given":"J.W.","non-dropping-particle":"","parse-names":false,"suffix":""},{"dropping-particle":"","family":"Ohlen","given":"D.O.","non-dropping-particle":"","parse-names":false,"suffix":""}],"container-title":"Journal of Vegetation Science","id":"ITEM-3","issue":"5","issued":{"date-parts":[["1994"]]},"page":"703-714","title":"Measuring phenological variability from satellite imagery","type":"article-journal","volume":"5"},"uris":["http://www.mendeley.com/documents/?uuid=d73792aa-1daa-405e-b09b-3ca78a9957c6"]}],"mendeley":{"formattedCitation":"(Tucker &lt;i&gt;et al.&lt;/i&gt;, 1985; Reed &lt;i&gt;et al.&lt;/i&gt;, 1994; Pettorelli &lt;i&gt;et al.&lt;/i&gt;, 2005)","plainTextFormattedCitation":"(Tucker et al., 1985; Reed et al., 1994; Pettorelli et al., 2005)","previouslyFormattedCitation":"(Tucker, Townshend and Goff, 1985; Reed &lt;i&gt;et al.&lt;/i&gt;, 1994; Pettorelli &lt;i&gt;et al.&lt;/i&gt;, 2005)"},"properties":{"noteIndex":0},"schema":"https://github.com/citation-style-language/schema/raw/master/csl-citation.json"}</w:instrText>
      </w:r>
      <w:r w:rsidR="003172BA">
        <w:fldChar w:fldCharType="separate"/>
      </w:r>
      <w:r w:rsidR="007C6EF9" w:rsidRPr="007C6EF9">
        <w:rPr>
          <w:noProof/>
          <w:lang w:val="da-DK"/>
        </w:rPr>
        <w:t xml:space="preserve">(Tucker </w:t>
      </w:r>
      <w:r w:rsidR="007C6EF9" w:rsidRPr="007C6EF9">
        <w:rPr>
          <w:i/>
          <w:noProof/>
          <w:lang w:val="da-DK"/>
        </w:rPr>
        <w:t>et al.</w:t>
      </w:r>
      <w:r w:rsidR="007C6EF9" w:rsidRPr="007C6EF9">
        <w:rPr>
          <w:noProof/>
          <w:lang w:val="da-DK"/>
        </w:rPr>
        <w:t xml:space="preserve">, 1985; Reed </w:t>
      </w:r>
      <w:r w:rsidR="007C6EF9" w:rsidRPr="007C6EF9">
        <w:rPr>
          <w:i/>
          <w:noProof/>
          <w:lang w:val="da-DK"/>
        </w:rPr>
        <w:t>et al.</w:t>
      </w:r>
      <w:r w:rsidR="007C6EF9" w:rsidRPr="007C6EF9">
        <w:rPr>
          <w:noProof/>
          <w:lang w:val="da-DK"/>
        </w:rPr>
        <w:t xml:space="preserve">, 1994; Pettorelli </w:t>
      </w:r>
      <w:r w:rsidR="007C6EF9" w:rsidRPr="007C6EF9">
        <w:rPr>
          <w:i/>
          <w:noProof/>
          <w:lang w:val="da-DK"/>
        </w:rPr>
        <w:t>et al.</w:t>
      </w:r>
      <w:r w:rsidR="007C6EF9" w:rsidRPr="007C6EF9">
        <w:rPr>
          <w:noProof/>
          <w:lang w:val="da-DK"/>
        </w:rPr>
        <w:t>, 2005)</w:t>
      </w:r>
      <w:r w:rsidR="003172BA">
        <w:fldChar w:fldCharType="end"/>
      </w:r>
      <w:r w:rsidR="003172BA" w:rsidRPr="00957A1D">
        <w:rPr>
          <w:lang w:val="da-DK"/>
        </w:rPr>
        <w:t>.</w:t>
      </w:r>
      <w:r w:rsidR="0011567D">
        <w:rPr>
          <w:lang w:val="da-DK"/>
        </w:rPr>
        <w:t xml:space="preserve"> Here, we therefore use NDVI as a proxy for the growth of green vegetation, including pasture and crops.</w:t>
      </w:r>
    </w:p>
    <w:p w14:paraId="1BD69D66" w14:textId="05462F5E" w:rsidR="004B3A0D" w:rsidRDefault="004B3A0D" w:rsidP="004B3A0D">
      <w:r>
        <w:t xml:space="preserve">Mean seasonal NDVI was subsequently used to calculate the Vegetation Condition Index (VCI) using the methods presented in (Yang et al., 2011). The VCI compares NDVI recorded in a given year to that observed over the same period in other years. It is expressed as a percentage, with 0% and 100% representing the </w:t>
      </w:r>
      <w:r>
        <w:lastRenderedPageBreak/>
        <w:t xml:space="preserve">lowest and highest observations of NDVI, respectively. Here, VCI was calculated for the season of interest with a 15-day lag in season start and end in order to account for the known lag between soil moisture and vegetation growth. The VCI has been shown to be a good indicator of drought </w:t>
      </w:r>
      <w:r w:rsidR="003A05A6" w:rsidRPr="00C1187E">
        <w:fldChar w:fldCharType="begin" w:fldLock="1"/>
      </w:r>
      <w:r w:rsidR="007C6EF9">
        <w:instrText>ADDIN CSL_CITATION {"citationItems":[{"id":"ITEM-1","itemData":{"DOI":"10.1080/01431169608949106","ISSN":"13665901","abstract":"NDVI (Normalized Difference Vegetation Index) images generated from NOAA AVHRR GVI data were recently used to monitor large scale drought patterns and their climatic impact on vegetation. The purpose of this study is to use the Vegetation Condition Index (VCI) to further separate regional NDVI variation from geographical contributions in order to assess regional drought impacts. Weekly NDVI data for the period of July 1985 to June 1992 were used to produce NDVI and VCI images for the South American continent. NDVI data were smoothed with a median filtering technique for each year. Drought areas were delineated with certain threshold values of the NDVI and VCI. Drought patterns delineated by the NDVI and VCI agreed quite well with rainfall anomalies observed from rainfall maps of Brazil. NDVI values reflected the different geographical conditions quite well. Seasonal and interannual comparisons of drought areas delineated by the VCI provided a useful tool to analyse temporal and spatial evolution of regional drought as well as to estimate crop production qualitatively. It is suggested that VCI data besides NDVI may be used to construct a large scale crop yield prediction model. © 1996 Taylor &amp; Francis Group, LLC.","author":[{"dropping-particle":"","family":"Liu","given":"W. T.","non-dropping-particle":"","parse-names":false,"suffix":""},{"dropping-particle":"","family":"Kogan","given":"F. N.","non-dropping-particle":"","parse-names":false,"suffix":""}],"container-title":"International Journal of Remote Sensing","id":"ITEM-1","issue":"14","issued":{"date-parts":[["1996","9","1"]]},"page":"2761-2782","title":"Monitoring regional drought using the vegetation condition index","type":"article-journal","volume":"17"},"uris":["http://www.mendeley.com/documents/?uuid=7403c4e2-df7e-310b-a271-716f2c4d3bfb"]}],"mendeley":{"formattedCitation":"(Liu &amp; Kogan, 1996)","plainTextFormattedCitation":"(Liu &amp; Kogan, 1996)","previouslyFormattedCitation":"(Liu and Kogan, 1996)"},"properties":{"noteIndex":0},"schema":"https://github.com/citation-style-language/schema/raw/master/csl-citation.json"}</w:instrText>
      </w:r>
      <w:r w:rsidR="003A05A6" w:rsidRPr="00C1187E">
        <w:fldChar w:fldCharType="separate"/>
      </w:r>
      <w:r w:rsidR="007C6EF9" w:rsidRPr="007C6EF9">
        <w:rPr>
          <w:noProof/>
        </w:rPr>
        <w:t>(Liu &amp; Kogan, 1996)</w:t>
      </w:r>
      <w:r w:rsidR="003A05A6" w:rsidRPr="00C1187E">
        <w:fldChar w:fldCharType="end"/>
      </w:r>
      <w:r w:rsidR="003A05A6">
        <w:t>.</w:t>
      </w:r>
    </w:p>
    <w:p w14:paraId="7BC66938" w14:textId="0CF000C3" w:rsidR="009A2300" w:rsidRPr="004B3A0D" w:rsidRDefault="009A2300" w:rsidP="009A2300">
      <w:pPr>
        <w:pStyle w:val="Heading1"/>
        <w:rPr>
          <w:rFonts w:asciiTheme="minorHAnsi" w:hAnsiTheme="minorHAnsi" w:cstheme="minorHAnsi"/>
          <w:b/>
          <w:bCs/>
          <w:color w:val="auto"/>
          <w:sz w:val="28"/>
          <w:szCs w:val="28"/>
        </w:rPr>
      </w:pPr>
      <w:r>
        <w:rPr>
          <w:rFonts w:asciiTheme="minorHAnsi" w:hAnsiTheme="minorHAnsi" w:cstheme="minorHAnsi"/>
          <w:b/>
          <w:bCs/>
          <w:color w:val="auto"/>
          <w:sz w:val="28"/>
          <w:szCs w:val="28"/>
        </w:rPr>
        <w:t>Analysis</w:t>
      </w:r>
    </w:p>
    <w:p w14:paraId="78D94796" w14:textId="4DAB2736" w:rsidR="001E48EA" w:rsidRPr="00BE66A8" w:rsidRDefault="001E48EA" w:rsidP="00BE66A8">
      <w:pPr>
        <w:pStyle w:val="Heading2"/>
        <w:rPr>
          <w:rFonts w:asciiTheme="minorHAnsi" w:hAnsiTheme="minorHAnsi" w:cstheme="minorHAnsi"/>
          <w:i/>
          <w:iCs/>
          <w:color w:val="auto"/>
          <w:sz w:val="22"/>
          <w:szCs w:val="22"/>
        </w:rPr>
      </w:pPr>
      <w:r w:rsidRPr="00BE66A8">
        <w:rPr>
          <w:rFonts w:asciiTheme="minorHAnsi" w:hAnsiTheme="minorHAnsi" w:cstheme="minorHAnsi"/>
          <w:i/>
          <w:iCs/>
          <w:color w:val="auto"/>
          <w:sz w:val="22"/>
          <w:szCs w:val="22"/>
        </w:rPr>
        <w:t xml:space="preserve">Historic validation of TAMSAT-ALERT soil moisture </w:t>
      </w:r>
    </w:p>
    <w:p w14:paraId="7CF47465" w14:textId="3A0C26A6" w:rsidR="001E48EA" w:rsidRDefault="001E48EA" w:rsidP="001E48EA">
      <w:r>
        <w:t xml:space="preserve">Mean </w:t>
      </w:r>
      <w:r w:rsidR="00CF28BF">
        <w:t xml:space="preserve">growing </w:t>
      </w:r>
      <w:r>
        <w:t>season</w:t>
      </w:r>
      <w:r w:rsidR="00322BEE">
        <w:t xml:space="preserve"> (January-April)</w:t>
      </w:r>
      <w:r>
        <w:t xml:space="preserve"> soil moisture estimates were compared with mean seasonal VCI using Pearson’s correlation coefficient (r; p &lt; 0.05 deemed significant). The correlation was assessed for </w:t>
      </w:r>
      <w:r w:rsidR="00CF28BF">
        <w:t>Lesotho</w:t>
      </w:r>
      <w:r>
        <w:t xml:space="preserve"> as a whole and on a gridded basis to understand how this relationship varies spatially.</w:t>
      </w:r>
      <w:r w:rsidR="00CF28BF">
        <w:t xml:space="preserve"> </w:t>
      </w:r>
    </w:p>
    <w:p w14:paraId="426877FA" w14:textId="1ABFC017" w:rsidR="001E48EA" w:rsidRPr="00BE66A8" w:rsidRDefault="001E48EA" w:rsidP="00BE66A8">
      <w:pPr>
        <w:pStyle w:val="Heading2"/>
        <w:rPr>
          <w:rFonts w:asciiTheme="minorHAnsi" w:hAnsiTheme="minorHAnsi" w:cstheme="minorHAnsi"/>
          <w:i/>
          <w:iCs/>
          <w:color w:val="auto"/>
          <w:sz w:val="22"/>
          <w:szCs w:val="22"/>
        </w:rPr>
      </w:pPr>
      <w:r w:rsidRPr="00BE66A8">
        <w:rPr>
          <w:rFonts w:asciiTheme="minorHAnsi" w:hAnsiTheme="minorHAnsi" w:cstheme="minorHAnsi"/>
          <w:i/>
          <w:iCs/>
          <w:color w:val="auto"/>
          <w:sz w:val="22"/>
          <w:szCs w:val="22"/>
        </w:rPr>
        <w:t>Assessing the skill of soil moisture forecasts</w:t>
      </w:r>
    </w:p>
    <w:p w14:paraId="3CCF87B0" w14:textId="4938F08C" w:rsidR="001E48EA" w:rsidRDefault="001E48EA" w:rsidP="001E48EA">
      <w:r>
        <w:t xml:space="preserve">The T-A forecasting system was used to generate hindcasts of seasonal mean soil moisture for each year in the climatological period. We chose to use a relatively short 15-year climatological period (2003-2017) because of the interdecadal variability in the region. </w:t>
      </w:r>
    </w:p>
    <w:p w14:paraId="00954AED" w14:textId="2870FB8F" w:rsidR="001E48EA" w:rsidRDefault="001E48EA" w:rsidP="001E48EA">
      <w:r>
        <w:t>Hindcasts were generated every week from the beginning</w:t>
      </w:r>
      <w:r w:rsidR="00747736">
        <w:t xml:space="preserve"> (1</w:t>
      </w:r>
      <w:r w:rsidR="00747736" w:rsidRPr="00747736">
        <w:rPr>
          <w:vertAlign w:val="superscript"/>
        </w:rPr>
        <w:t>st</w:t>
      </w:r>
      <w:r w:rsidR="00747736">
        <w:t xml:space="preserve"> January)</w:t>
      </w:r>
      <w:r>
        <w:t xml:space="preserve"> to the end</w:t>
      </w:r>
      <w:r w:rsidR="00747736">
        <w:t xml:space="preserve"> (30</w:t>
      </w:r>
      <w:r w:rsidR="00747736" w:rsidRPr="00747736">
        <w:rPr>
          <w:vertAlign w:val="superscript"/>
        </w:rPr>
        <w:t>th</w:t>
      </w:r>
      <w:r w:rsidR="00747736">
        <w:t xml:space="preserve"> April)</w:t>
      </w:r>
      <w:r>
        <w:t xml:space="preserve"> of the season to assess the influence of lead time on forecast skill. Here, we use lead time to refer to the number of days before the end of the season rainy season (</w:t>
      </w:r>
      <w:r w:rsidR="00061DDC">
        <w:t>30</w:t>
      </w:r>
      <w:r w:rsidR="00061DDC" w:rsidRPr="00061DDC">
        <w:rPr>
          <w:vertAlign w:val="superscript"/>
        </w:rPr>
        <w:t>th</w:t>
      </w:r>
      <w:r w:rsidR="00061DDC">
        <w:t xml:space="preserve"> April</w:t>
      </w:r>
      <w:r>
        <w:t xml:space="preserve">). The resulting soil moisture ensemble forecasts were compared to historic observations of mean seasonal soil moisture and VCI using Pearson’s correlation coefficient (r). </w:t>
      </w:r>
    </w:p>
    <w:p w14:paraId="7A680D5B" w14:textId="055C65C9" w:rsidR="001E48EA" w:rsidRDefault="001E48EA" w:rsidP="001E48EA">
      <w:r>
        <w:t>Ensemble forecasts were also used to calculate the probability of seasonal mean soil moisture being below the 20th percentile. Years in which soil moisture falls below the 20th percentile represent extreme drought years or a one-in-five-year drought event. Observations of soil moisture</w:t>
      </w:r>
      <w:r w:rsidR="00BE0EA2">
        <w:t xml:space="preserve"> and</w:t>
      </w:r>
      <w:r>
        <w:t xml:space="preserve"> VCI were also classified as below their respective 20th percentile or not. Comparison of the forecast probability with observed classifications was used to calculate </w:t>
      </w:r>
      <w:r w:rsidR="00061DDC">
        <w:t xml:space="preserve">rates of </w:t>
      </w:r>
      <w:r>
        <w:t xml:space="preserve">hits, misses, false-alarms and correct rejections </w:t>
      </w:r>
      <w:r w:rsidR="00061DDC">
        <w:rPr>
          <w:iCs/>
        </w:rPr>
        <w:fldChar w:fldCharType="begin" w:fldLock="1"/>
      </w:r>
      <w:r w:rsidR="00061DDC">
        <w:rPr>
          <w:iCs/>
        </w:rPr>
        <w:instrText>ADDIN CSL_CITATION {"citationItems":[{"id":"ITEM-1","itemData":{"DOI":"10.5194/nhess-15-895-2015","ISSN":"16849981","abstract":"Disaster risk reduction efforts traditionally focus on long-term preventative measures or post-disaster response. Outside of these, there are many short-term actions, such as evacuation, that can be implemented in the period of time between a warning and a potential disaster to reduce the risk of impacts. However, this precious window of opportunity is regularly overlooked in the case of climate and weather forecasts, which can indicate heightened risk of disaster but are rarely used to initiate preventative action. Barriers range from the protracted debate over the best strategy for intervention to the inherent uncomfortableness on the part of donors to invest in a situation that will likely arise but is not certain. In general, it is unclear what levels of forecast probability and magnitude are \"worth\" reacting to. Here, we propose a novel forecast-based financing system to automatically trigger action based on climate forecasts or observations. The system matches threshold forecast probabilities with appropriate actions, disburses required funding when threshold forecasts are issued, and develops standard operating procedures that contain the mandate to act when these threshold forecasts are issued. We detail the methods that can be used to establish such a system, and provide illustrations from several pilot cases. Ultimately, such a system can be scaled up in disaster-prone areas worldwide to improve effectiveness at reducing the risk of disaster.","author":[{"dropping-particle":"","family":"Coughlan De Perez","given":"E.","non-dropping-particle":"","parse-names":false,"suffix":""},{"dropping-particle":"","family":"Hurk","given":"B.","non-dropping-particle":"Van Den","parse-names":false,"suffix":""},{"dropping-particle":"","family":"Aalst","given":"M. K.","non-dropping-particle":"Van","parse-names":false,"suffix":""},{"dropping-particle":"","family":"Jongman","given":"B.","non-dropping-particle":"","parse-names":false,"suffix":""},{"dropping-particle":"","family":"Klose","given":"T.","non-dropping-particle":"","parse-names":false,"suffix":""},{"dropping-particle":"","family":"Suarez","given":"P.","non-dropping-particle":"","parse-names":false,"suffix":""}],"container-title":"Natural Hazards and Earth System Sciences","id":"ITEM-1","issue":"4","issued":{"date-parts":[["2015"]]},"page":"895-904","title":"Forecast-based financing: An approach for catalyzing humanitarian action based on extreme weather and climate forecasts","type":"article-journal","volume":"15"},"uris":["http://www.mendeley.com/documents/?uuid=99530512-0cb1-4977-9a4d-a4296ac6f6ee"]}],"mendeley":{"formattedCitation":"(Coughlan De Perez &lt;i&gt;et al.&lt;/i&gt;, 2015)","plainTextFormattedCitation":"(Coughlan De Perez et al., 2015)","previouslyFormattedCitation":"(Coughlan De Perez &lt;i&gt;et al.&lt;/i&gt;, 2015)"},"properties":{"noteIndex":0},"schema":"https://github.com/citation-style-language/schema/raw/master/csl-citation.json"}</w:instrText>
      </w:r>
      <w:r w:rsidR="00061DDC">
        <w:rPr>
          <w:iCs/>
        </w:rPr>
        <w:fldChar w:fldCharType="separate"/>
      </w:r>
      <w:r w:rsidR="00061DDC" w:rsidRPr="00556FE1">
        <w:rPr>
          <w:iCs/>
          <w:noProof/>
        </w:rPr>
        <w:t xml:space="preserve">(Coughlan De Perez </w:t>
      </w:r>
      <w:r w:rsidR="00061DDC" w:rsidRPr="00556FE1">
        <w:rPr>
          <w:i/>
          <w:iCs/>
          <w:noProof/>
        </w:rPr>
        <w:t>et al.</w:t>
      </w:r>
      <w:r w:rsidR="00061DDC" w:rsidRPr="00556FE1">
        <w:rPr>
          <w:iCs/>
          <w:noProof/>
        </w:rPr>
        <w:t>, 2015)</w:t>
      </w:r>
      <w:r w:rsidR="00061DDC">
        <w:rPr>
          <w:iCs/>
        </w:rPr>
        <w:fldChar w:fldCharType="end"/>
      </w:r>
      <w:r>
        <w:t>. The</w:t>
      </w:r>
      <w:r w:rsidR="00061DDC">
        <w:t>se were</w:t>
      </w:r>
      <w:r>
        <w:t xml:space="preserve"> subsequently used to generate Receiver Operating Characteristic (ROC) Area Under the Curve (AUC) scores (Mason and Graham, 2002). ROC-AUC scores are used to determine how well a probabilistic forecast can delineate a particular event, in this case for example, soil moisture below the 20th percentile and soil moisture above. ROC-AUC scores range from 0 to 1, with values representing the following.</w:t>
      </w:r>
    </w:p>
    <w:p w14:paraId="04D56329" w14:textId="1C0A5127" w:rsidR="001E48EA" w:rsidRDefault="001E48EA" w:rsidP="00061DDC">
      <w:pPr>
        <w:pStyle w:val="ListParagraph"/>
        <w:numPr>
          <w:ilvl w:val="0"/>
          <w:numId w:val="3"/>
        </w:numPr>
      </w:pPr>
      <w:r>
        <w:t>ROC-AUC scores less than 0.5: the forecast can delineate events, but events are mislabelled.</w:t>
      </w:r>
    </w:p>
    <w:p w14:paraId="0949C7BB" w14:textId="23699932" w:rsidR="001E48EA" w:rsidRDefault="001E48EA" w:rsidP="00061DDC">
      <w:pPr>
        <w:pStyle w:val="ListParagraph"/>
        <w:numPr>
          <w:ilvl w:val="0"/>
          <w:numId w:val="3"/>
        </w:numPr>
      </w:pPr>
      <w:r>
        <w:t>ROC-AUC scores of 0.5: the forecast has no delineation skill, or a random chance of correctly delineating events.</w:t>
      </w:r>
    </w:p>
    <w:p w14:paraId="6E800E5F" w14:textId="42490188" w:rsidR="001E48EA" w:rsidRDefault="001E48EA" w:rsidP="00061DDC">
      <w:pPr>
        <w:pStyle w:val="ListParagraph"/>
        <w:numPr>
          <w:ilvl w:val="0"/>
          <w:numId w:val="3"/>
        </w:numPr>
      </w:pPr>
      <w:r>
        <w:t>ROC-AUC scores from 0.5 to 1: the forecast has a better than random chance of correctly delineating events.</w:t>
      </w:r>
    </w:p>
    <w:p w14:paraId="41B4509E" w14:textId="0041A2E8" w:rsidR="001E48EA" w:rsidRDefault="001E48EA" w:rsidP="00061DDC">
      <w:pPr>
        <w:pStyle w:val="ListParagraph"/>
        <w:numPr>
          <w:ilvl w:val="0"/>
          <w:numId w:val="3"/>
        </w:numPr>
      </w:pPr>
      <w:r>
        <w:t>ROC-AUC scores of 1: the forecast can perfectly delineate events.</w:t>
      </w:r>
    </w:p>
    <w:p w14:paraId="18BF54D6" w14:textId="5EDC1450" w:rsidR="001E48EA" w:rsidRPr="001E48EA" w:rsidRDefault="001E48EA" w:rsidP="00061DDC">
      <w:r>
        <w:t xml:space="preserve">Here, we deemed any ROC-AUC score over 0.8 as representing a skilful forecast. This threshold in determining a sufficiently skilful forecast is demonstrative in this case but can be altered to account for the varying implications of incorrectly delineating an event. For instance, actions which have a higher cost of acting in vain should only be triggered by highly skilful forecasts (high ROC-AUC scores), whilst low-regret actions may be based on forecasts with lower ROC-AUC scores. </w:t>
      </w:r>
    </w:p>
    <w:p w14:paraId="7E345B70" w14:textId="59E66926" w:rsidR="00B57F08" w:rsidRPr="00B57F08" w:rsidRDefault="00B57F08" w:rsidP="001E48EA">
      <w:pPr>
        <w:pStyle w:val="Heading1"/>
        <w:rPr>
          <w:rFonts w:asciiTheme="minorHAnsi" w:hAnsiTheme="minorHAnsi" w:cstheme="minorHAnsi"/>
          <w:b/>
          <w:bCs/>
          <w:color w:val="auto"/>
          <w:sz w:val="28"/>
          <w:szCs w:val="28"/>
        </w:rPr>
      </w:pPr>
      <w:r w:rsidRPr="00B57F08">
        <w:rPr>
          <w:rFonts w:asciiTheme="minorHAnsi" w:hAnsiTheme="minorHAnsi" w:cstheme="minorHAnsi"/>
          <w:b/>
          <w:bCs/>
          <w:color w:val="auto"/>
          <w:sz w:val="28"/>
          <w:szCs w:val="28"/>
        </w:rPr>
        <w:t>Results</w:t>
      </w:r>
      <w:r w:rsidR="00945724">
        <w:rPr>
          <w:rFonts w:asciiTheme="minorHAnsi" w:hAnsiTheme="minorHAnsi" w:cstheme="minorHAnsi"/>
          <w:b/>
          <w:bCs/>
          <w:color w:val="auto"/>
          <w:sz w:val="28"/>
          <w:szCs w:val="28"/>
        </w:rPr>
        <w:t xml:space="preserve"> and Discussion</w:t>
      </w:r>
    </w:p>
    <w:p w14:paraId="5ADA8EF8" w14:textId="36F62D89" w:rsidR="00553A08" w:rsidRDefault="00553A08" w:rsidP="00553A08">
      <w:pPr>
        <w:pStyle w:val="Heading2"/>
        <w:rPr>
          <w:rFonts w:asciiTheme="minorHAnsi" w:hAnsiTheme="minorHAnsi" w:cstheme="minorHAnsi"/>
          <w:i/>
          <w:iCs/>
          <w:color w:val="auto"/>
          <w:sz w:val="22"/>
          <w:szCs w:val="22"/>
        </w:rPr>
      </w:pPr>
      <w:r w:rsidRPr="00BE66A8">
        <w:rPr>
          <w:rFonts w:asciiTheme="minorHAnsi" w:hAnsiTheme="minorHAnsi" w:cstheme="minorHAnsi"/>
          <w:i/>
          <w:iCs/>
          <w:color w:val="auto"/>
          <w:sz w:val="22"/>
          <w:szCs w:val="22"/>
        </w:rPr>
        <w:t xml:space="preserve">Historic validation of TAMSAT-ALERT soil moisture </w:t>
      </w:r>
    </w:p>
    <w:p w14:paraId="435671D3" w14:textId="77777777" w:rsidR="00CF0AB0" w:rsidRDefault="00BE0EA2" w:rsidP="00BE0EA2">
      <w:r>
        <w:t xml:space="preserve">Soil moisture correlates strongly with VCI at the national and seasonal scale (Figure 3). </w:t>
      </w:r>
      <w:r w:rsidR="003C6E09">
        <w:t xml:space="preserve">Also important to anticipatory drought management applications, is that soil moisture correctly identifies anomalously low </w:t>
      </w:r>
      <w:r w:rsidR="003C6E09">
        <w:lastRenderedPageBreak/>
        <w:t xml:space="preserve">seasonal VCI given that VCI is a proxy for vegetation productivity. Indeed, in most cases, the lowest VCI values were met with low soil moisture values. This is with the exception of 1987, which whilst experiencing one of the five lowest VCI values across all years was not accompanied by an equally low soil moisture value, suggesting the T-A soil moisture ‘missed’ low VCI conditions. </w:t>
      </w:r>
    </w:p>
    <w:p w14:paraId="1D3DC40D" w14:textId="49C83118" w:rsidR="00BE0EA2" w:rsidRDefault="003C6E09" w:rsidP="00BE0EA2">
      <w:r>
        <w:t xml:space="preserve">On the other hand, there are several instances in the time series in which T-A soil moisture gave a ‘false-alarm’, where the soil moisture anomaly was not accompanied by low VCI. This occurs in 2012 and 2014. </w:t>
      </w:r>
    </w:p>
    <w:p w14:paraId="20103A77" w14:textId="58082A08" w:rsidR="00611BCA" w:rsidRDefault="00611BCA" w:rsidP="00BE0EA2">
      <w:r>
        <w:t xml:space="preserve">It is possible that, with insight into the situation on the ground in Lesotho, some misses and false-alarms may be explained. For instance, these mismatches between the soil moisture data and VCI could be the result of disease, pests, or changes in agricultural practice. </w:t>
      </w:r>
    </w:p>
    <w:p w14:paraId="26F491F7" w14:textId="6598CE35" w:rsidR="00553A08" w:rsidRPr="00553A08" w:rsidRDefault="00CF0AB0" w:rsidP="00553A08">
      <w:r>
        <w:rPr>
          <w:noProof/>
        </w:rPr>
        <w:drawing>
          <wp:anchor distT="0" distB="0" distL="114300" distR="114300" simplePos="0" relativeHeight="251663360" behindDoc="0" locked="0" layoutInCell="1" allowOverlap="1" wp14:anchorId="29E9EA46" wp14:editId="6E2F26A5">
            <wp:simplePos x="0" y="0"/>
            <wp:positionH relativeFrom="column">
              <wp:posOffset>19050</wp:posOffset>
            </wp:positionH>
            <wp:positionV relativeFrom="paragraph">
              <wp:posOffset>246380</wp:posOffset>
            </wp:positionV>
            <wp:extent cx="4182110" cy="1666875"/>
            <wp:effectExtent l="0" t="0" r="889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82110" cy="1666875"/>
                    </a:xfrm>
                    <a:prstGeom prst="rect">
                      <a:avLst/>
                    </a:prstGeom>
                    <a:noFill/>
                  </pic:spPr>
                </pic:pic>
              </a:graphicData>
            </a:graphic>
            <wp14:sizeRelH relativeFrom="page">
              <wp14:pctWidth>0</wp14:pctWidth>
            </wp14:sizeRelH>
            <wp14:sizeRelV relativeFrom="page">
              <wp14:pctHeight>0</wp14:pctHeight>
            </wp14:sizeRelV>
          </wp:anchor>
        </w:drawing>
      </w:r>
      <w:r>
        <w:rPr>
          <w:b/>
          <w:bCs/>
          <w:noProof/>
        </w:rPr>
        <mc:AlternateContent>
          <mc:Choice Requires="wps">
            <w:drawing>
              <wp:anchor distT="0" distB="0" distL="114300" distR="114300" simplePos="0" relativeHeight="251662336" behindDoc="1" locked="0" layoutInCell="1" allowOverlap="1" wp14:anchorId="34CDCF7B" wp14:editId="53C910BA">
                <wp:simplePos x="0" y="0"/>
                <wp:positionH relativeFrom="margin">
                  <wp:align>center</wp:align>
                </wp:positionH>
                <wp:positionV relativeFrom="paragraph">
                  <wp:posOffset>95250</wp:posOffset>
                </wp:positionV>
                <wp:extent cx="6362700" cy="2000250"/>
                <wp:effectExtent l="0" t="0" r="19050" b="19050"/>
                <wp:wrapNone/>
                <wp:docPr id="20" name="Rectangle: Rounded Corners 20"/>
                <wp:cNvGraphicFramePr/>
                <a:graphic xmlns:a="http://schemas.openxmlformats.org/drawingml/2006/main">
                  <a:graphicData uri="http://schemas.microsoft.com/office/word/2010/wordprocessingShape">
                    <wps:wsp>
                      <wps:cNvSpPr/>
                      <wps:spPr>
                        <a:xfrm>
                          <a:off x="0" y="0"/>
                          <a:ext cx="6362700" cy="2000250"/>
                        </a:xfrm>
                        <a:prstGeom prst="roundRect">
                          <a:avLst>
                            <a:gd name="adj" fmla="val 5667"/>
                          </a:avLst>
                        </a:prstGeom>
                        <a:solidFill>
                          <a:schemeClr val="bg2"/>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83E257" id="Rectangle: Rounded Corners 20" o:spid="_x0000_s1026" style="position:absolute;margin-left:0;margin-top:7.5pt;width:501pt;height:157.5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371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qzvgIAABQGAAAOAAAAZHJzL2Uyb0RvYy54bWysVN9vEzEMfkfif4jyzu5a1g6qXaeq0xDS&#10;2KZtaM9pLukdSuKQpL2Wv35O7kc7mAAhXnLO2f5sf7F9frHTimyF8zWYgo5OckqE4VDWZl3Qr49X&#10;7z5Q4gMzJVNgREH3wtOL+ds3542diTFUoErhCIIYP2tsQasQ7CzLPK+EZv4ErDColOA0C3h166x0&#10;rEF0rbJxnk+zBlxpHXDhPf69bJV0nvClFDzcSulFIKqgmFtIp0vnKp7Z/JzN1o7ZquZdGuwfstCs&#10;Nhh0gLpkgZGNq3+B0jV34EGGEw46AylrLlINWM0o/6mah4pZkWpBcrwdaPL/D5bfbO8cqcuCjpEe&#10;wzS+0T2yxsxaiRm5h40pRUmW4Aw+MkEjZKyxfoaOD/bOdTePYix/J52OXyyM7BLL+4FlsQuE48/p&#10;++n4LMdoHHX4hvl4klCzg7t1PnwSoEkUCupiFjGrRDHbXvuQuC67hFn5jRKpFb7clikymU7PYpoI&#10;2Nmi1ENGRw+qLq9qpdIltppYKkfQt6Cr9bjzfWGlzN84Rhu10V+gbMEmWF1fW2rpGCcldgSOyUX0&#10;LLLa8piksFci4Zl7IfGFkLlxqn8AamMwzoUJo1ZVsVL8KbSKgBFZIgMDdgfwkoweuyWzs4+uIo3W&#10;4Jz/LrHWefBIkcGEwVnXBtxrAAqr6iK39j1JLTWRpRWUe+xfB+1ge8uvamyZa+bDHXPYD9hmuJ3C&#10;LR5SQVNQ6CRKKnA/Xvsf7XHAUEtJg5uhoP77hjlBifpscPQ+jk5P4ypJl9PJWRwcd6xZHWvMRi8B&#10;+2qEe9DyJEb7oHpROtBPuMQWMSqqmOEYu6A8uP6yDO3GwjXIxWKRzHB9WBauzYPlETyyGlv8cffE&#10;nO3mJuDI3UC/RbppaBk92EZPA4tNAFmHqDzw2l1w9aD0Yrcd35PVYZnPnwEAAP//AwBQSwMEFAAG&#10;AAgAAAAhAAMH2sjbAAAACAEAAA8AAABkcnMvZG93bnJldi54bWxMj8tOwzAQRfdI/IM1SOyo3VRU&#10;KMSpAFEkpG4ofMA0HuK0fkS224a/Z7qC1Tzu6M65zWryTpwo5SEGDfOZAkGhi2YIvYavz/XdA4hc&#10;MBh0MZCGH8qwaq+vGqxNPIcPOm1LL9gk5Bo12FLGWsrcWfKYZ3GkwNp3TB4Lj6mXJuGZzb2TlVJL&#10;6XEI/MHiSC+WusP26DVs1pvXt/d0qCZ8Xqo5uW5v91nr25vp6RFEoan8HcMFn9GhZaZdPAaThdPA&#10;QQpv77leVKUq7nYaFgulQLaN/B+g/QUAAP//AwBQSwECLQAUAAYACAAAACEAtoM4kv4AAADhAQAA&#10;EwAAAAAAAAAAAAAAAAAAAAAAW0NvbnRlbnRfVHlwZXNdLnhtbFBLAQItABQABgAIAAAAIQA4/SH/&#10;1gAAAJQBAAALAAAAAAAAAAAAAAAAAC8BAABfcmVscy8ucmVsc1BLAQItABQABgAIAAAAIQBSF+qz&#10;vgIAABQGAAAOAAAAAAAAAAAAAAAAAC4CAABkcnMvZTJvRG9jLnhtbFBLAQItABQABgAIAAAAIQAD&#10;B9rI2wAAAAgBAAAPAAAAAAAAAAAAAAAAABgFAABkcnMvZG93bnJldi54bWxQSwUGAAAAAAQABADz&#10;AAAAIAYAAAAA&#10;" fillcolor="#e7e6e6 [3214]" strokecolor="#747070 [1614]" strokeweight="1pt">
                <v:stroke joinstyle="miter"/>
                <w10:wrap anchorx="margin"/>
              </v:roundrect>
            </w:pict>
          </mc:Fallback>
        </mc:AlternateContent>
      </w:r>
    </w:p>
    <w:p w14:paraId="3FB3EECE" w14:textId="32BBC682" w:rsidR="00A64146" w:rsidRDefault="00553A08" w:rsidP="00553A08">
      <w:r w:rsidRPr="00553A08">
        <w:rPr>
          <w:b/>
          <w:bCs/>
        </w:rPr>
        <w:t>Figure 3.</w:t>
      </w:r>
      <w:r>
        <w:t xml:space="preserve"> Interannual variation in seasonal (Jan-Apr) soil moisture estimates compared to VCI. </w:t>
      </w:r>
      <w:r w:rsidRPr="00553A08">
        <w:t xml:space="preserve">Both metrics represent mean seasonal values. Soil moisture anomalies have been standardised. Pearson’s correlation coefficients (r) are presented above each plot. </w:t>
      </w:r>
    </w:p>
    <w:p w14:paraId="37A27B26" w14:textId="77777777" w:rsidR="00CF0AB0" w:rsidRPr="00CF0AB0" w:rsidRDefault="00CF0AB0" w:rsidP="00CF0AB0">
      <w:pPr>
        <w:rPr>
          <w:iCs/>
        </w:rPr>
      </w:pPr>
    </w:p>
    <w:p w14:paraId="0B0CA149" w14:textId="5B9D2BB4" w:rsidR="00B801A2" w:rsidRDefault="00CF0AB0" w:rsidP="00CF0AB0">
      <w:pPr>
        <w:rPr>
          <w:iCs/>
        </w:rPr>
      </w:pPr>
      <w:r w:rsidRPr="00CF0AB0">
        <w:rPr>
          <w:iCs/>
        </w:rPr>
        <w:t>Spatially, soil moisture and VCI climatologies follow largely similar patterns</w:t>
      </w:r>
      <w:r>
        <w:rPr>
          <w:iCs/>
        </w:rPr>
        <w:t xml:space="preserve"> (Figure 4). Soil moisture is generally higher along the borders of the northeast and east, along the Drakensberg mountain range, and lower in the south and west. VCI too is higher along northeast and east borders and is lower in the south and west, however, VCI is also high along the Maloti mountain range running from the northern point of the country southwest. </w:t>
      </w:r>
    </w:p>
    <w:p w14:paraId="505FA19F" w14:textId="41047413" w:rsidR="00CF0AB0" w:rsidRDefault="00CF0AB0" w:rsidP="00CF0AB0">
      <w:r>
        <w:rPr>
          <w:iCs/>
        </w:rPr>
        <w:t>The correlation between seasonal mean soil moisture and VCI is generally high with some variation in the correlation coefficient. This correlation is significant (p &lt; 0.05) for most of the country with only small regions in the east showing no significant relationship between soil moisture and VCI.</w:t>
      </w:r>
    </w:p>
    <w:p w14:paraId="4FA664AF" w14:textId="5EEF4636" w:rsidR="00553A08" w:rsidRDefault="00B801A2" w:rsidP="006D79FB">
      <w:r>
        <w:rPr>
          <w:noProof/>
        </w:rPr>
        <mc:AlternateContent>
          <mc:Choice Requires="wps">
            <w:drawing>
              <wp:anchor distT="0" distB="0" distL="114300" distR="114300" simplePos="0" relativeHeight="251665408" behindDoc="1" locked="0" layoutInCell="1" allowOverlap="1" wp14:anchorId="25E2BE85" wp14:editId="6142C31C">
                <wp:simplePos x="0" y="0"/>
                <wp:positionH relativeFrom="margin">
                  <wp:align>center</wp:align>
                </wp:positionH>
                <wp:positionV relativeFrom="paragraph">
                  <wp:posOffset>47625</wp:posOffset>
                </wp:positionV>
                <wp:extent cx="6362700" cy="2905125"/>
                <wp:effectExtent l="0" t="0" r="19050" b="28575"/>
                <wp:wrapNone/>
                <wp:docPr id="22" name="Rectangle: Rounded Corners 22"/>
                <wp:cNvGraphicFramePr/>
                <a:graphic xmlns:a="http://schemas.openxmlformats.org/drawingml/2006/main">
                  <a:graphicData uri="http://schemas.microsoft.com/office/word/2010/wordprocessingShape">
                    <wps:wsp>
                      <wps:cNvSpPr/>
                      <wps:spPr>
                        <a:xfrm>
                          <a:off x="0" y="0"/>
                          <a:ext cx="6362700" cy="2905125"/>
                        </a:xfrm>
                        <a:prstGeom prst="roundRect">
                          <a:avLst>
                            <a:gd name="adj" fmla="val 5667"/>
                          </a:avLst>
                        </a:prstGeom>
                        <a:solidFill>
                          <a:schemeClr val="bg2"/>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84BCBC" id="Rectangle: Rounded Corners 22" o:spid="_x0000_s1026" style="position:absolute;margin-left:0;margin-top:3.75pt;width:501pt;height:228.7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371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sfswgIAABQGAAAOAAAAZHJzL2Uyb0RvYy54bWysVMFu2zAMvQ/YPwi6r3a8Jl2NOkWQosOA&#10;ri3aDj0rspR4kERNUuJkXz9Kdpx0K7ZhWA6KaJKP5BPJi8utVmQjnG/AVHR0klMiDIe6McuKfnm6&#10;fveBEh+YqZkCIyq6E55eTt++uWhtKQpYgaqFIwhifNnaiq5CsGWWeb4SmvkTsMKgUoLTLKDollnt&#10;WIvoWmVFnk+yFlxtHXDhPX696pR0mvClFDzcSelFIKqimFtIp0vnIp7Z9IKVS8fsquF9GuwfstCs&#10;MRh0gLpigZG1a36B0g134EGGEw46AykbLlINWM0o/6maxxWzItWC5Hg70OT/Hyy/3dw70tQVLQpK&#10;DNP4Rg/IGjNLJUryAGtTi5rMwRl8ZIJGyFhrfYmOj/be9ZLHayx/K52O/1gY2SaWdwPLYhsIx4+T&#10;95PiLMfH4KgrzvPxqBhH1Ozgbp0PHwVoEi8VdTGLmFWimG1ufEhc133CrP5KidQKX27DFBlPJmc9&#10;YG+L0HvI6OhBNfV1o1QSYquJuXIEfSu6WKYS0eOFlTJ/4xht1Fp/hroDG+f461NJLR3jpEqPwDFU&#10;RM8iqx2P6RZ2SiQ88yAkvhAyV6T6B6AuBuNcmDDqVCtWiz+FVhEwIktkYMDuAV6SscfuXqe3j64i&#10;jdbgnP8usc558EiRwYTBWTcG3GsACqvqI3f2e5I6aiJLC6h32L8OusH2ll832DI3zId75rAfsM1w&#10;O4U7PKSCtqLQ3yhZgfv+2vdojwOGWkpa3AwV9d/WzAlK1CeDo3c+Oj2NqyQJp+OzAgV3rFkca8xa&#10;zwH7aoR70PJ0jfZB7a/SgX7GJTaLUVHFDMfYFeXB7YV56DYWrkEuZrNkhuvDsnBjHi2P4JHV2OJP&#10;22fmbD83AUfuFvZbhJVpGjpGD7bR08BsHUA2ISoPvPYCrh68vdhtx3KyOizz6Q8AAAD//wMAUEsD&#10;BBQABgAIAAAAIQAcsg8h2wAAAAcBAAAPAAAAZHJzL2Rvd25yZXYueG1sTI/BTsMwEETvSPyDtUjc&#10;qN2IBhSyqQBRJKReWvgAN17itPY6it02/D3uCY47M5p5Wy8n78SJxtgHRpjPFAjiNpieO4Svz9Xd&#10;I4iYNBvtAhPCD0VYNtdXta5MOPOGTtvUiVzCsdIINqWhkjK2lryOszAQZ+87jF6nfI6dNKM+53Lv&#10;ZKFUKb3uOS9YPdCrpfawPXqE9Wr99v4xHopJv5RqTq7d231EvL2Znp9AJJrSXxgu+Bkdmsy0C0c2&#10;UTiE/EhCeFiAuJhKFVnYIdyXCwWyqeV//uYXAAD//wMAUEsBAi0AFAAGAAgAAAAhALaDOJL+AAAA&#10;4QEAABMAAAAAAAAAAAAAAAAAAAAAAFtDb250ZW50X1R5cGVzXS54bWxQSwECLQAUAAYACAAAACEA&#10;OP0h/9YAAACUAQAACwAAAAAAAAAAAAAAAAAvAQAAX3JlbHMvLnJlbHNQSwECLQAUAAYACAAAACEA&#10;58bH7MICAAAUBgAADgAAAAAAAAAAAAAAAAAuAgAAZHJzL2Uyb0RvYy54bWxQSwECLQAUAAYACAAA&#10;ACEAHLIPIdsAAAAHAQAADwAAAAAAAAAAAAAAAAAcBQAAZHJzL2Rvd25yZXYueG1sUEsFBgAAAAAE&#10;AAQA8wAAACQGAAAAAA==&#10;" fillcolor="#e7e6e6 [3214]" strokecolor="#747070 [1614]" strokeweight="1pt">
                <v:stroke joinstyle="miter"/>
                <w10:wrap anchorx="margin"/>
              </v:roundrect>
            </w:pict>
          </mc:Fallback>
        </mc:AlternateContent>
      </w:r>
      <w:r w:rsidR="00331D1D">
        <w:rPr>
          <w:noProof/>
        </w:rPr>
        <w:drawing>
          <wp:anchor distT="0" distB="0" distL="114300" distR="114300" simplePos="0" relativeHeight="251666432" behindDoc="0" locked="0" layoutInCell="1" allowOverlap="1" wp14:anchorId="6D2CEAF9" wp14:editId="2FB0A98C">
            <wp:simplePos x="0" y="0"/>
            <wp:positionH relativeFrom="margin">
              <wp:posOffset>275590</wp:posOffset>
            </wp:positionH>
            <wp:positionV relativeFrom="paragraph">
              <wp:posOffset>155575</wp:posOffset>
            </wp:positionV>
            <wp:extent cx="5553075" cy="1987550"/>
            <wp:effectExtent l="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53075" cy="1987550"/>
                    </a:xfrm>
                    <a:prstGeom prst="rect">
                      <a:avLst/>
                    </a:prstGeom>
                    <a:noFill/>
                  </pic:spPr>
                </pic:pic>
              </a:graphicData>
            </a:graphic>
            <wp14:sizeRelH relativeFrom="page">
              <wp14:pctWidth>0</wp14:pctWidth>
            </wp14:sizeRelH>
            <wp14:sizeRelV relativeFrom="page">
              <wp14:pctHeight>0</wp14:pctHeight>
            </wp14:sizeRelV>
          </wp:anchor>
        </w:drawing>
      </w:r>
    </w:p>
    <w:p w14:paraId="4270EF60" w14:textId="4F95470D" w:rsidR="00553A08" w:rsidRDefault="00553A08" w:rsidP="006D79FB"/>
    <w:p w14:paraId="5D3018D6" w14:textId="4CD2E001" w:rsidR="00553A08" w:rsidRDefault="00553A08" w:rsidP="006D79FB"/>
    <w:p w14:paraId="3E6073C2" w14:textId="7EF0EAFE" w:rsidR="00553A08" w:rsidRDefault="00553A08" w:rsidP="006D79FB"/>
    <w:p w14:paraId="2EF1511B" w14:textId="0FD37B86" w:rsidR="00553A08" w:rsidRDefault="00553A08" w:rsidP="006D79FB"/>
    <w:p w14:paraId="64BAA56A" w14:textId="04EE1F00" w:rsidR="00553A08" w:rsidRDefault="00553A08" w:rsidP="006D79FB"/>
    <w:p w14:paraId="617342B6" w14:textId="7FCDAF1D" w:rsidR="006D79FB" w:rsidRDefault="006D79FB" w:rsidP="006D79FB"/>
    <w:p w14:paraId="065ECF46" w14:textId="50046362" w:rsidR="00331D1D" w:rsidRDefault="00331D1D" w:rsidP="006D79FB"/>
    <w:p w14:paraId="0E3D2F82" w14:textId="77DA56F6" w:rsidR="006D79FB" w:rsidRDefault="006D79FB" w:rsidP="006D79FB">
      <w:r w:rsidRPr="006D79FB">
        <w:rPr>
          <w:b/>
          <w:bCs/>
        </w:rPr>
        <w:t>Figure 4.</w:t>
      </w:r>
      <w:r w:rsidRPr="006D79FB">
        <w:t xml:space="preserve"> A comparison of soil moisture and VCI climatology across </w:t>
      </w:r>
      <w:r>
        <w:t>Lesotho</w:t>
      </w:r>
      <w:r w:rsidRPr="006D79FB">
        <w:t xml:space="preserve"> for each wet season. Pearson’s correlation coefficient (r) is presented in the third column and indicates the relationship between interannual variation in seasonal mean soil moisture and VCI. Darker blue colours show a strong positive </w:t>
      </w:r>
      <w:r w:rsidRPr="006D79FB">
        <w:lastRenderedPageBreak/>
        <w:t>correlation and red shows a negative correlation. Grey areas are masked to exclude surrounding countries. Stippling indicates statistical significance (p &lt; 0.05).</w:t>
      </w:r>
    </w:p>
    <w:p w14:paraId="132CAF89" w14:textId="37715936" w:rsidR="00CF0AB0" w:rsidRDefault="00CF0AB0" w:rsidP="006D79FB">
      <w:r>
        <w:t>It's also worth noting that the relationship between soil moisture and VCI is stronger than that between rainfall and VCI (r = 0.4, p &lt; 0.05), and applies across more of the country (rainfall-VCI correlation only significant in along Lesotho’s western border).</w:t>
      </w:r>
    </w:p>
    <w:p w14:paraId="6ED517E0" w14:textId="2BABBC34" w:rsidR="003F3290" w:rsidRDefault="003F3290" w:rsidP="003F3290">
      <w:pPr>
        <w:pStyle w:val="Heading2"/>
        <w:rPr>
          <w:rFonts w:asciiTheme="minorHAnsi" w:hAnsiTheme="minorHAnsi" w:cstheme="minorHAnsi"/>
          <w:i/>
          <w:iCs/>
          <w:color w:val="auto"/>
          <w:sz w:val="22"/>
          <w:szCs w:val="22"/>
        </w:rPr>
      </w:pPr>
      <w:r>
        <w:rPr>
          <w:rFonts w:asciiTheme="minorHAnsi" w:hAnsiTheme="minorHAnsi" w:cstheme="minorHAnsi"/>
          <w:i/>
          <w:iCs/>
          <w:color w:val="auto"/>
          <w:sz w:val="22"/>
          <w:szCs w:val="22"/>
        </w:rPr>
        <w:t>Forecast skill</w:t>
      </w:r>
    </w:p>
    <w:p w14:paraId="759A9884" w14:textId="366B84A6" w:rsidR="003F3290" w:rsidRDefault="00B801A2" w:rsidP="00B57F08">
      <w:r w:rsidRPr="00B801A2">
        <w:t>The analysis of hindcasts to identify the lead-time at which T-A soil moisture forecasts can reliably and skilfully predict observed values revealed that</w:t>
      </w:r>
      <w:r w:rsidR="00AD50FE">
        <w:t xml:space="preserve"> </w:t>
      </w:r>
      <w:r w:rsidRPr="00B801A2">
        <w:t>soil moisture</w:t>
      </w:r>
      <w:r w:rsidR="0016322B">
        <w:t xml:space="preserve"> </w:t>
      </w:r>
      <w:r w:rsidRPr="00B801A2">
        <w:t xml:space="preserve">can be forecast with </w:t>
      </w:r>
      <w:r w:rsidR="00AD50FE">
        <w:t>good</w:t>
      </w:r>
      <w:r w:rsidRPr="00B801A2">
        <w:t xml:space="preserve"> accuracy </w:t>
      </w:r>
      <w:r w:rsidR="009339A5">
        <w:t xml:space="preserve">well </w:t>
      </w:r>
      <w:r w:rsidRPr="00B801A2">
        <w:t>ahead of the end-of-season.</w:t>
      </w:r>
    </w:p>
    <w:p w14:paraId="40AB32B2" w14:textId="3CDF8029" w:rsidR="0016322B" w:rsidRDefault="0016322B" w:rsidP="00B57F08">
      <w:r>
        <w:t>The soil moisture ensemble forecast mean correlates strongly (r &gt; 0.8) with observed seasonal values by the end of January (up to 98 days before the end-of-season on April 30</w:t>
      </w:r>
      <w:r w:rsidRPr="0016322B">
        <w:rPr>
          <w:vertAlign w:val="superscript"/>
        </w:rPr>
        <w:t>th</w:t>
      </w:r>
      <w:r>
        <w:t xml:space="preserve">; Figure </w:t>
      </w:r>
      <w:r w:rsidR="00D4653C">
        <w:t>5</w:t>
      </w:r>
      <w:r>
        <w:t>)</w:t>
      </w:r>
      <w:r w:rsidR="00FE4E73">
        <w:t xml:space="preserve"> and is able to skilfully (ROC-AUC &gt; 0.8) identify 1-in-5-years drought events (&lt; 20</w:t>
      </w:r>
      <w:r w:rsidR="00FE4E73" w:rsidRPr="00FE4E73">
        <w:rPr>
          <w:vertAlign w:val="superscript"/>
        </w:rPr>
        <w:t>th</w:t>
      </w:r>
      <w:r w:rsidR="00FE4E73">
        <w:t xml:space="preserve"> percentile) by early January (up to 112 days before the end-of-season). Both the r-values and ROC-AUC </w:t>
      </w:r>
      <w:r w:rsidR="000A2AA3">
        <w:t>increases as the season progresses.</w:t>
      </w:r>
    </w:p>
    <w:p w14:paraId="37DE9824" w14:textId="05FBD458" w:rsidR="00CB7E06" w:rsidRDefault="00C357FE" w:rsidP="00B57F08">
      <w:r>
        <w:rPr>
          <w:noProof/>
        </w:rPr>
        <w:drawing>
          <wp:anchor distT="0" distB="0" distL="114300" distR="114300" simplePos="0" relativeHeight="251678720" behindDoc="0" locked="0" layoutInCell="1" allowOverlap="1" wp14:anchorId="45453270" wp14:editId="290DE26D">
            <wp:simplePos x="0" y="0"/>
            <wp:positionH relativeFrom="margin">
              <wp:align>right</wp:align>
            </wp:positionH>
            <wp:positionV relativeFrom="paragraph">
              <wp:posOffset>193040</wp:posOffset>
            </wp:positionV>
            <wp:extent cx="6086475" cy="24574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3322"/>
                    <a:stretch/>
                  </pic:blipFill>
                  <pic:spPr bwMode="auto">
                    <a:xfrm>
                      <a:off x="0" y="0"/>
                      <a:ext cx="6086475" cy="2457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E4E73">
        <w:rPr>
          <w:noProof/>
        </w:rPr>
        <mc:AlternateContent>
          <mc:Choice Requires="wps">
            <w:drawing>
              <wp:anchor distT="0" distB="0" distL="114300" distR="114300" simplePos="0" relativeHeight="251671552" behindDoc="1" locked="0" layoutInCell="1" allowOverlap="1" wp14:anchorId="6B2B128D" wp14:editId="07FCB2A3">
                <wp:simplePos x="0" y="0"/>
                <wp:positionH relativeFrom="margin">
                  <wp:posOffset>-96520</wp:posOffset>
                </wp:positionH>
                <wp:positionV relativeFrom="paragraph">
                  <wp:posOffset>24130</wp:posOffset>
                </wp:positionV>
                <wp:extent cx="6362700" cy="3705225"/>
                <wp:effectExtent l="0" t="0" r="19050" b="28575"/>
                <wp:wrapNone/>
                <wp:docPr id="26" name="Rectangle: Rounded Corners 26"/>
                <wp:cNvGraphicFramePr/>
                <a:graphic xmlns:a="http://schemas.openxmlformats.org/drawingml/2006/main">
                  <a:graphicData uri="http://schemas.microsoft.com/office/word/2010/wordprocessingShape">
                    <wps:wsp>
                      <wps:cNvSpPr/>
                      <wps:spPr>
                        <a:xfrm>
                          <a:off x="0" y="0"/>
                          <a:ext cx="6362700" cy="3705225"/>
                        </a:xfrm>
                        <a:prstGeom prst="roundRect">
                          <a:avLst>
                            <a:gd name="adj" fmla="val 5667"/>
                          </a:avLst>
                        </a:prstGeom>
                        <a:solidFill>
                          <a:schemeClr val="bg2"/>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4C36F5" id="Rectangle: Rounded Corners 26" o:spid="_x0000_s1026" style="position:absolute;margin-left:-7.6pt;margin-top:1.9pt;width:501pt;height:291.7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371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nNQwQIAABQGAAAOAAAAZHJzL2Uyb0RvYy54bWysVE1v2zAMvQ/YfxB0X+24TbIZdYogRYcB&#10;XRu0HXpWZCnxIImapHzt14+S7STdim0YloNCmuQT+UTy8mqnFdkI5xswFR2c5ZQIw6FuzLKiX55u&#10;3r2nxAdmaqbAiIruhadXk7dvLre2FAWsQNXCEQQxvtzaiq5CsGWWeb4SmvkzsMKgUYLTLKDqllnt&#10;2BbRtcqKPB9lW3C1dcCF9/j1ujXSScKXUvBwL6UXgaiKYm4hnS6di3hmk0tWLh2zq4Z3abB/yEKz&#10;xuClB6hrFhhZu+YXKN1wBx5kOOOgM5Cy4SLVgNUM8p+qeVwxK1ItSI63B5r8/4Pld5u5I01d0WJE&#10;iWEa3+gBWWNmqURJHmBtalGTGTiDj0zQCRnbWl9i4KOdu07zKMbyd9Lp+I+FkV1ieX9gWewC4fhx&#10;dD4qxjk+Bkfb+TgfFsUwombHcOt8+ChAkyhU1MUsYlaJYra59SFxXXcJs/orJVIrfLkNU2Q4Go07&#10;wM4XoXvIGOhBNfVNo1RSYquJmXIEYyu6WBZd7AsvZf4mMPqotf4MdQs2zPHXw/X3pEpPwDG5iJ5F&#10;VlsekxT2SiQ88yAkvhAyV6T602wcE2acCxMGrWnFavGnq1UEjMgSGThgdwB9ki1Ij92+TucfQ0Ua&#10;rUNw/rvE2uBDRLoZTDgE68aAew1AYVXdza1/T1JLTWRpAfUe+9dBO9je8psGW+aW+TBnDvsB2wy3&#10;U7jHQyrYVhQ6iZIVuO+vfY/+OGBopWSLm6Gi/tuaOUGJ+mRw9D4MLi7iKknKxXBcoOJOLYtTi1nr&#10;GWBfDXAPWp7E6B9UL0oH+hmX2DTeiiZmON5dUR5cr8xCu7FwDXIxnSY3XB+WhVvzaHkEj6zGFn/a&#10;PTNnu7kJOHJ30G8RVqZpaBk9+sZIA9N1ANmEaDzy2im4elB6sdtO9eR1XOaTHwAAAP//AwBQSwME&#10;FAAGAAgAAAAhABqKHbLfAAAACQEAAA8AAABkcnMvZG93bnJldi54bWxMj81OwzAQhO9IvIO1SNxa&#10;J6ka0hCnAkSRkHqh9AHceInT+iey3Ta8PcsJbjua0ew3zXqyhl0wxME7Afk8A4au82pwvYD952ZW&#10;AYtJOiWNdyjgGyOs29ubRtbKX90HXnapZ1TiYi0F6JTGmvPYabQyzv2IjrwvH6xMJEPPVZBXKreG&#10;F1lWcisHRx+0HPFFY3fana2A7Wb7+vYeTsUkn8ssR9Md9TEKcX83PT0CSzilvzD84hM6tMR08Gen&#10;IjMCZvmyoKiABS0gf1WVdBwELKuHBfC24f8XtD8AAAD//wMAUEsBAi0AFAAGAAgAAAAhALaDOJL+&#10;AAAA4QEAABMAAAAAAAAAAAAAAAAAAAAAAFtDb250ZW50X1R5cGVzXS54bWxQSwECLQAUAAYACAAA&#10;ACEAOP0h/9YAAACUAQAACwAAAAAAAAAAAAAAAAAvAQAAX3JlbHMvLnJlbHNQSwECLQAUAAYACAAA&#10;ACEAb65zUMECAAAUBgAADgAAAAAAAAAAAAAAAAAuAgAAZHJzL2Uyb0RvYy54bWxQSwECLQAUAAYA&#10;CAAAACEAGoodst8AAAAJAQAADwAAAAAAAAAAAAAAAAAbBQAAZHJzL2Rvd25yZXYueG1sUEsFBgAA&#10;AAAEAAQA8wAAACcGAAAAAA==&#10;" fillcolor="#e7e6e6 [3214]" strokecolor="#747070 [1614]" strokeweight="1pt">
                <v:stroke joinstyle="miter"/>
                <w10:wrap anchorx="margin"/>
              </v:roundrect>
            </w:pict>
          </mc:Fallback>
        </mc:AlternateContent>
      </w:r>
    </w:p>
    <w:p w14:paraId="4D03E010" w14:textId="30432688" w:rsidR="00CB7E06" w:rsidRPr="00CB7E06" w:rsidRDefault="00CB7E06" w:rsidP="00B57F08">
      <w:pPr>
        <w:rPr>
          <w:sz w:val="2"/>
          <w:szCs w:val="2"/>
        </w:rPr>
      </w:pPr>
    </w:p>
    <w:p w14:paraId="71271CE7" w14:textId="24F19944" w:rsidR="0031571A" w:rsidRDefault="00CB7E06" w:rsidP="00B57F08">
      <w:r w:rsidRPr="00CB7E06">
        <w:rPr>
          <w:b/>
          <w:bCs/>
        </w:rPr>
        <w:t xml:space="preserve">Figure </w:t>
      </w:r>
      <w:r w:rsidR="00D4653C">
        <w:rPr>
          <w:b/>
          <w:bCs/>
        </w:rPr>
        <w:t>5</w:t>
      </w:r>
      <w:r w:rsidRPr="00CB7E06">
        <w:rPr>
          <w:b/>
          <w:bCs/>
        </w:rPr>
        <w:t>.</w:t>
      </w:r>
      <w:r>
        <w:t xml:space="preserve"> </w:t>
      </w:r>
      <w:r w:rsidRPr="00CB7E06">
        <w:t xml:space="preserve">Skill of T-A soil moisture forecasts as the season progresses. The </w:t>
      </w:r>
      <w:r>
        <w:t>left plot</w:t>
      </w:r>
      <w:r w:rsidRPr="00CB7E06">
        <w:t xml:space="preserve"> shows the correlation (r) between mean seasonal soil moisture</w:t>
      </w:r>
      <w:r w:rsidR="00FE4E73">
        <w:t xml:space="preserve"> </w:t>
      </w:r>
      <w:r w:rsidRPr="00CB7E06">
        <w:t xml:space="preserve">against the forecast soil moisture ensemble mean. The </w:t>
      </w:r>
      <w:r>
        <w:t>right plot</w:t>
      </w:r>
      <w:r w:rsidRPr="00CB7E06">
        <w:t xml:space="preserve"> shows the ROC-AUC scores of the ensemble mean for identifying &lt;20th percentile seasonal soil moisture</w:t>
      </w:r>
      <w:r w:rsidR="00FE4E73">
        <w:t xml:space="preserve"> </w:t>
      </w:r>
      <w:r w:rsidRPr="00CB7E06">
        <w:t>at a range of lead times. The dashed horizontal lines indicate r = 0.8 and ROC-AUC = 0.8, here used to represent ‘high’ correlations and skill.</w:t>
      </w:r>
    </w:p>
    <w:p w14:paraId="569D5DC4" w14:textId="77777777" w:rsidR="00FE4E73" w:rsidRDefault="00FE4E73" w:rsidP="00B57F08"/>
    <w:p w14:paraId="4A04DFEB" w14:textId="3247300D" w:rsidR="003F3290" w:rsidRDefault="000A2AA3" w:rsidP="00B57F08">
      <w:r w:rsidRPr="000A2AA3">
        <w:t>In addition to considering variation in forecast skill at a range of lead times, we also considered how forecast skill varies spatially. Figure</w:t>
      </w:r>
      <w:r>
        <w:t>s</w:t>
      </w:r>
      <w:r w:rsidRPr="000A2AA3">
        <w:t xml:space="preserve"> </w:t>
      </w:r>
      <w:r w:rsidR="00D4653C">
        <w:t>6</w:t>
      </w:r>
      <w:r w:rsidRPr="000A2AA3">
        <w:t xml:space="preserve"> show ROC-AUC scores calculated at a range of lead times for each 0.25˚ grid cell. Again, ROC-AUC scores measure the ability of the soil moisture forecast to identify years in which seasonal soil moisture </w:t>
      </w:r>
      <w:r w:rsidR="00D4653C">
        <w:t>is</w:t>
      </w:r>
      <w:bookmarkStart w:id="0" w:name="_GoBack"/>
      <w:bookmarkEnd w:id="0"/>
      <w:r w:rsidRPr="000A2AA3">
        <w:t xml:space="preserve"> below their respective 20th percentiles. </w:t>
      </w:r>
    </w:p>
    <w:p w14:paraId="2236C3E2" w14:textId="1B841D7A" w:rsidR="00ED5B2A" w:rsidRDefault="00ED5B2A" w:rsidP="00B57F08">
      <w:r w:rsidRPr="00ED5B2A">
        <w:t>ROC-AUC scores calculated for soil moisture indicate that</w:t>
      </w:r>
      <w:r>
        <w:t xml:space="preserve"> </w:t>
      </w:r>
      <w:r w:rsidRPr="00ED5B2A">
        <w:t xml:space="preserve">the skill of soil moisture forecasts generally increases across </w:t>
      </w:r>
      <w:r>
        <w:t xml:space="preserve">Lesotho (Figure </w:t>
      </w:r>
      <w:r w:rsidR="00D4653C">
        <w:t>6</w:t>
      </w:r>
      <w:r>
        <w:t>)</w:t>
      </w:r>
      <w:r w:rsidRPr="00ED5B2A">
        <w:t>. However, ROC-AUC scores do vary spatially.</w:t>
      </w:r>
      <w:r>
        <w:t xml:space="preserve"> Early in the season, ROC-AUC is generally highest in the south and west. However, as the season progresses, skill expands to the east and eventually encompasses the whole country. </w:t>
      </w:r>
    </w:p>
    <w:p w14:paraId="16E193A1" w14:textId="7F2BA984" w:rsidR="00ED5B2A" w:rsidRPr="00ED5B2A" w:rsidRDefault="00ED5B2A" w:rsidP="00B57F08">
      <w:pPr>
        <w:rPr>
          <w:b/>
          <w:bCs/>
          <w:sz w:val="12"/>
          <w:szCs w:val="12"/>
        </w:rPr>
      </w:pPr>
      <w:r>
        <w:rPr>
          <w:b/>
          <w:bCs/>
          <w:noProof/>
        </w:rPr>
        <w:lastRenderedPageBreak/>
        <mc:AlternateContent>
          <mc:Choice Requires="wps">
            <w:drawing>
              <wp:anchor distT="0" distB="0" distL="114300" distR="114300" simplePos="0" relativeHeight="251674624" behindDoc="1" locked="0" layoutInCell="1" allowOverlap="1" wp14:anchorId="09A1C4DD" wp14:editId="35CCD064">
                <wp:simplePos x="0" y="0"/>
                <wp:positionH relativeFrom="margin">
                  <wp:align>center</wp:align>
                </wp:positionH>
                <wp:positionV relativeFrom="paragraph">
                  <wp:posOffset>-635</wp:posOffset>
                </wp:positionV>
                <wp:extent cx="6362700" cy="2943225"/>
                <wp:effectExtent l="0" t="0" r="19050" b="28575"/>
                <wp:wrapNone/>
                <wp:docPr id="27" name="Rectangle: Rounded Corners 27"/>
                <wp:cNvGraphicFramePr/>
                <a:graphic xmlns:a="http://schemas.openxmlformats.org/drawingml/2006/main">
                  <a:graphicData uri="http://schemas.microsoft.com/office/word/2010/wordprocessingShape">
                    <wps:wsp>
                      <wps:cNvSpPr/>
                      <wps:spPr>
                        <a:xfrm>
                          <a:off x="0" y="0"/>
                          <a:ext cx="6362700" cy="2943225"/>
                        </a:xfrm>
                        <a:prstGeom prst="roundRect">
                          <a:avLst>
                            <a:gd name="adj" fmla="val 5667"/>
                          </a:avLst>
                        </a:prstGeom>
                        <a:solidFill>
                          <a:schemeClr val="bg2"/>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56E3AD" id="Rectangle: Rounded Corners 27" o:spid="_x0000_s1026" style="position:absolute;margin-left:0;margin-top:-.05pt;width:501pt;height:231.75p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371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lNMwQIAABQGAAAOAAAAZHJzL2Uyb0RvYy54bWysVFFvGjEMfp+0/xDlfT24Al1RjwpRdZrU&#10;tVXbqc8hl3A3JXGWBA726+vk7oBu1TZN4yHYZ/uL/cX2xeVWK7IRztdgCjo8GVAiDIeyNquCfn26&#10;/vCREh+YKZkCIwq6E55ezt6/u2jsVORQgSqFIwhi/LSxBa1CsNMs87wSmvkTsMKgUYLTLKDqVlnp&#10;WIPoWmX5YDDJGnCldcCF9/j1qjXSWcKXUvBwJ6UXgaiCYm4hnS6dy3hmsws2XTlmq5p3abB/yEKz&#10;2uCle6grFhhZu/oXKF1zBx5kOOGgM5Cy5iLVgNUMBz9V81gxK1ItSI63e5r8/4Plt5t7R+qyoPkZ&#10;JYZpfKMHZI2ZlRJT8gBrU4qSLMAZfGSCTshYY/0UAx/tves0j2Isfyudjv9YGNkmlnd7lsU2EI4f&#10;J6eT/GyAj8HRlp+PTvN8HFGzQ7h1PnwSoEkUCupiFjGrRDHb3PiQuC67hFn5jRKpFb7chikynkxS&#10;mgjY+aLUQ8ZAD6our2ulkhJbTSyUIxhb0OUq75J55aXM3wRGH7XWX6BswcYD/PVw/T2p0iNwTC6i&#10;Z5HVlsckhZ0SCc88CIkvhMzlqf40G4eEGefChGFrqlgp/nS1ioARWSIDe+wOoE+yBemx29fp/GOo&#10;SKO1Dx78LrE2eB+RbgYT9sG6NuDeAlBYVXdz69+T1FITWVpCucP+ddAOtrf8usaWuWE+3DOH/YBt&#10;htsp3OEhFTQFhU6ipAL3463v0R8HDK2UNLgZCuq/r5kTlKjPBkfvfDgaxVWSlNH4LEfFHVuWxxaz&#10;1gvAvhriHrQ8idE/qF6UDvQzLrF5vBVNzHC8u6A8uF5ZhHZj4RrkYj5Pbrg+LAs35tHyCB5ZjS3+&#10;tH1mznZzE3DkbqHfIt00tIwefGOkgfk6gKxDNB547RRcPSi92m3HevI6LPPZCwAAAP//AwBQSwME&#10;FAAGAAgAAAAhAK8wi6DcAAAABwEAAA8AAABkcnMvZG93bnJldi54bWxMj81OwzAQhO9IvIO1SNxa&#10;O6GKUIhTAaKVkHqh5QG28RKn9U9ku2369rgnOO7MaObbZjlZw84U4uCdhGIugJHrvBpcL+F7t5o9&#10;A4sJnULjHUm4UoRle3/XYK38xX3ReZt6lktcrFGCTmmsOY+dJotx7kdy2fvxwWLKZ+i5CnjJ5dbw&#10;UoiKWxxcXtA40rum7rg9WQmb1eZj/RmO5YRvlSjIdAd9iFI+PkyvL8ASTekvDDf8jA5tZtr7k1OR&#10;GQn5kSRhVgC7mUKUWdhLWFRPC+Btw//zt78AAAD//wMAUEsBAi0AFAAGAAgAAAAhALaDOJL+AAAA&#10;4QEAABMAAAAAAAAAAAAAAAAAAAAAAFtDb250ZW50X1R5cGVzXS54bWxQSwECLQAUAAYACAAAACEA&#10;OP0h/9YAAACUAQAACwAAAAAAAAAAAAAAAAAvAQAAX3JlbHMvLnJlbHNQSwECLQAUAAYACAAAACEA&#10;vMpTTMECAAAUBgAADgAAAAAAAAAAAAAAAAAuAgAAZHJzL2Uyb0RvYy54bWxQSwECLQAUAAYACAAA&#10;ACEArzCLoNwAAAAHAQAADwAAAAAAAAAAAAAAAAAbBQAAZHJzL2Rvd25yZXYueG1sUEsFBgAAAAAE&#10;AAQA8wAAACQGAAAAAA==&#10;" fillcolor="#e7e6e6 [3214]" strokecolor="#747070 [1614]" strokeweight="1pt">
                <v:stroke joinstyle="miter"/>
                <w10:wrap anchorx="margin"/>
              </v:roundrect>
            </w:pict>
          </mc:Fallback>
        </mc:AlternateContent>
      </w:r>
      <w:r w:rsidRPr="0031571A">
        <w:rPr>
          <w:noProof/>
        </w:rPr>
        <w:drawing>
          <wp:anchor distT="0" distB="0" distL="114300" distR="114300" simplePos="0" relativeHeight="251675648" behindDoc="0" locked="0" layoutInCell="1" allowOverlap="1" wp14:anchorId="6328CCD3" wp14:editId="76601196">
            <wp:simplePos x="0" y="0"/>
            <wp:positionH relativeFrom="margin">
              <wp:align>left</wp:align>
            </wp:positionH>
            <wp:positionV relativeFrom="paragraph">
              <wp:posOffset>104775</wp:posOffset>
            </wp:positionV>
            <wp:extent cx="6164580" cy="2428875"/>
            <wp:effectExtent l="0" t="0" r="7620" b="9525"/>
            <wp:wrapSquare wrapText="bothSides"/>
            <wp:docPr id="7" name="Picture 6">
              <a:extLst xmlns:a="http://schemas.openxmlformats.org/drawingml/2006/main">
                <a:ext uri="{FF2B5EF4-FFF2-40B4-BE49-F238E27FC236}">
                  <a16:creationId xmlns:a16="http://schemas.microsoft.com/office/drawing/2014/main" id="{BD07403A-4479-4943-AD6A-FD7E633D9C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D07403A-4479-4943-AD6A-FD7E633D9C88}"/>
                        </a:ext>
                      </a:extLst>
                    </pic:cNvPr>
                    <pic:cNvPicPr>
                      <a:picLocks noChangeAspect="1"/>
                    </pic:cNvPicPr>
                  </pic:nvPicPr>
                  <pic:blipFill rotWithShape="1">
                    <a:blip r:embed="rId15" cstate="print">
                      <a:extLst>
                        <a:ext uri="{28A0092B-C50C-407E-A947-70E740481C1C}">
                          <a14:useLocalDpi xmlns:a14="http://schemas.microsoft.com/office/drawing/2010/main" val="0"/>
                        </a:ext>
                      </a:extLst>
                    </a:blip>
                    <a:srcRect l="9850" t="4703" r="8116" b="5528"/>
                    <a:stretch/>
                  </pic:blipFill>
                  <pic:spPr bwMode="auto">
                    <a:xfrm>
                      <a:off x="0" y="0"/>
                      <a:ext cx="6164580" cy="2428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291788" w14:textId="6F18590C" w:rsidR="00ED5B2A" w:rsidRDefault="00B801A2" w:rsidP="00B57F08">
      <w:r w:rsidRPr="00997893">
        <w:rPr>
          <w:b/>
          <w:bCs/>
        </w:rPr>
        <w:t>Figure</w:t>
      </w:r>
      <w:r w:rsidR="008C2546" w:rsidRPr="00997893">
        <w:rPr>
          <w:b/>
          <w:bCs/>
        </w:rPr>
        <w:t xml:space="preserve"> </w:t>
      </w:r>
      <w:r w:rsidR="00D4653C">
        <w:rPr>
          <w:b/>
          <w:bCs/>
        </w:rPr>
        <w:t>6</w:t>
      </w:r>
      <w:r w:rsidRPr="00997893">
        <w:rPr>
          <w:b/>
          <w:bCs/>
        </w:rPr>
        <w:t>.</w:t>
      </w:r>
      <w:r w:rsidRPr="00B801A2">
        <w:t xml:space="preserve"> ROC-AUC scores for identifying &lt;20th percentile soil moisture using T-A soil moisture ensemble forecast at a range of lead times. Grey areas are masked to exclude surrounding countries.</w:t>
      </w:r>
    </w:p>
    <w:p w14:paraId="2447AB4D" w14:textId="14CCA7B7" w:rsidR="00B801A2" w:rsidRPr="007C6EF9" w:rsidRDefault="00B801A2" w:rsidP="00B57F08">
      <w:pPr>
        <w:rPr>
          <w:sz w:val="10"/>
          <w:szCs w:val="10"/>
        </w:rPr>
      </w:pPr>
    </w:p>
    <w:p w14:paraId="68CA5D6D" w14:textId="6254BD1A" w:rsidR="00B57F08" w:rsidRPr="00B57F08" w:rsidRDefault="00B57F08" w:rsidP="00B57F08">
      <w:pPr>
        <w:pStyle w:val="Heading1"/>
        <w:rPr>
          <w:rFonts w:asciiTheme="minorHAnsi" w:hAnsiTheme="minorHAnsi" w:cstheme="minorHAnsi"/>
          <w:b/>
          <w:bCs/>
          <w:color w:val="auto"/>
          <w:sz w:val="28"/>
          <w:szCs w:val="28"/>
        </w:rPr>
      </w:pPr>
      <w:r w:rsidRPr="00B57F08">
        <w:rPr>
          <w:rFonts w:asciiTheme="minorHAnsi" w:hAnsiTheme="minorHAnsi" w:cstheme="minorHAnsi"/>
          <w:b/>
          <w:bCs/>
          <w:color w:val="auto"/>
          <w:sz w:val="28"/>
          <w:szCs w:val="28"/>
        </w:rPr>
        <w:t>Conclusion</w:t>
      </w:r>
    </w:p>
    <w:p w14:paraId="14E84021" w14:textId="3EF7C72A" w:rsidR="00B57F08" w:rsidRDefault="00173BA1" w:rsidP="00B57F08">
      <w:r>
        <w:t xml:space="preserve">TAMSAT-ALERT soil moisture estimates relate strongly to the impacts of drought, namely reduced vegetation productivity </w:t>
      </w:r>
      <w:r w:rsidR="00611BCA">
        <w:t>(</w:t>
      </w:r>
      <w:r>
        <w:t>here indicated by VCI</w:t>
      </w:r>
      <w:r w:rsidR="00611BCA">
        <w:t>) across Lesotho. In addition, T-A forecasts are able to reliably and skilfully anticipate seasonal soil moisture from early in the season, allowing several months to take action ahead of the end-of-season.</w:t>
      </w:r>
    </w:p>
    <w:p w14:paraId="42A06CCD" w14:textId="47BE55D4" w:rsidR="00611BCA" w:rsidRDefault="0020245D" w:rsidP="00B57F08">
      <w:r>
        <w:t xml:space="preserve">The relationship between soil moisture and VCI may be further improved and made more relevant to agricultural decision making by incorporating spatial information on the distribution of agriculture across Lesotho. </w:t>
      </w:r>
    </w:p>
    <w:p w14:paraId="6BEF71FE" w14:textId="1324692E" w:rsidR="0020245D" w:rsidRDefault="0070525F" w:rsidP="00B57F08">
      <w:r>
        <w:t>Whilst this general validation of T-A soil moisture estimates and forecasts presents promise in terms of anticipatory drought risk management, further work should now begin to refine the analysis, define trigger windows and thresholds for early-action.</w:t>
      </w:r>
    </w:p>
    <w:p w14:paraId="40E96947" w14:textId="09065E20" w:rsidR="007C6EF9" w:rsidRDefault="007C6EF9" w:rsidP="007C6EF9">
      <w:pPr>
        <w:pStyle w:val="Heading1"/>
        <w:rPr>
          <w:rFonts w:asciiTheme="minorHAnsi" w:hAnsiTheme="minorHAnsi" w:cstheme="minorHAnsi"/>
          <w:b/>
          <w:bCs/>
          <w:color w:val="auto"/>
          <w:sz w:val="28"/>
          <w:szCs w:val="28"/>
        </w:rPr>
      </w:pPr>
      <w:r>
        <w:rPr>
          <w:rFonts w:asciiTheme="minorHAnsi" w:hAnsiTheme="minorHAnsi" w:cstheme="minorHAnsi"/>
          <w:b/>
          <w:bCs/>
          <w:color w:val="auto"/>
          <w:sz w:val="28"/>
          <w:szCs w:val="28"/>
        </w:rPr>
        <w:t>References</w:t>
      </w:r>
    </w:p>
    <w:p w14:paraId="4875023A" w14:textId="7FB42AB5" w:rsidR="007C6EF9" w:rsidRPr="007C6EF9" w:rsidRDefault="007C6EF9" w:rsidP="007C6EF9">
      <w:pPr>
        <w:widowControl w:val="0"/>
        <w:autoSpaceDE w:val="0"/>
        <w:autoSpaceDN w:val="0"/>
        <w:adjustRightInd w:val="0"/>
        <w:spacing w:line="240" w:lineRule="auto"/>
        <w:ind w:left="480" w:hanging="480"/>
        <w:rPr>
          <w:rFonts w:ascii="Calibri" w:hAnsi="Calibri" w:cs="Calibri"/>
          <w:noProof/>
          <w:sz w:val="18"/>
          <w:szCs w:val="20"/>
        </w:rPr>
      </w:pPr>
      <w:r w:rsidRPr="007C6EF9">
        <w:rPr>
          <w:sz w:val="18"/>
          <w:szCs w:val="18"/>
        </w:rPr>
        <w:fldChar w:fldCharType="begin" w:fldLock="1"/>
      </w:r>
      <w:r w:rsidRPr="007C6EF9">
        <w:rPr>
          <w:sz w:val="18"/>
          <w:szCs w:val="18"/>
        </w:rPr>
        <w:instrText xml:space="preserve">ADDIN Mendeley Bibliography CSL_BIBLIOGRAPHY </w:instrText>
      </w:r>
      <w:r w:rsidRPr="007C6EF9">
        <w:rPr>
          <w:sz w:val="18"/>
          <w:szCs w:val="18"/>
        </w:rPr>
        <w:fldChar w:fldCharType="separate"/>
      </w:r>
      <w:r w:rsidRPr="007C6EF9">
        <w:rPr>
          <w:rFonts w:ascii="Calibri" w:hAnsi="Calibri" w:cs="Calibri"/>
          <w:noProof/>
          <w:sz w:val="18"/>
          <w:szCs w:val="20"/>
        </w:rPr>
        <w:t xml:space="preserve">Asfaw D., Black E., Brown M., Jane Nicklin K., Otu-Larbi F., Pinnington E., Challinor A., Maidment R., Quaife T. 2018. TAMSAT-ALERT v1: A new framework for agricultural decision support. </w:t>
      </w:r>
      <w:r w:rsidRPr="007C6EF9">
        <w:rPr>
          <w:rFonts w:ascii="Calibri" w:hAnsi="Calibri" w:cs="Calibri"/>
          <w:i/>
          <w:iCs/>
          <w:noProof/>
          <w:sz w:val="18"/>
          <w:szCs w:val="20"/>
        </w:rPr>
        <w:t>Geosci. Model Dev.</w:t>
      </w:r>
      <w:r w:rsidRPr="007C6EF9">
        <w:rPr>
          <w:rFonts w:ascii="Calibri" w:hAnsi="Calibri" w:cs="Calibri"/>
          <w:noProof/>
          <w:sz w:val="18"/>
          <w:szCs w:val="20"/>
        </w:rPr>
        <w:t xml:space="preserve"> </w:t>
      </w:r>
      <w:r w:rsidRPr="007C6EF9">
        <w:rPr>
          <w:rFonts w:ascii="Calibri" w:hAnsi="Calibri" w:cs="Calibri"/>
          <w:b/>
          <w:bCs/>
          <w:noProof/>
          <w:sz w:val="18"/>
          <w:szCs w:val="20"/>
        </w:rPr>
        <w:t>11</w:t>
      </w:r>
      <w:r w:rsidRPr="007C6EF9">
        <w:rPr>
          <w:rFonts w:ascii="Calibri" w:hAnsi="Calibri" w:cs="Calibri"/>
          <w:noProof/>
          <w:sz w:val="18"/>
          <w:szCs w:val="20"/>
        </w:rPr>
        <w:t>:2353–2371.</w:t>
      </w:r>
    </w:p>
    <w:p w14:paraId="4BE346C8" w14:textId="77777777" w:rsidR="007C6EF9" w:rsidRPr="007C6EF9" w:rsidRDefault="007C6EF9" w:rsidP="007C6EF9">
      <w:pPr>
        <w:widowControl w:val="0"/>
        <w:autoSpaceDE w:val="0"/>
        <w:autoSpaceDN w:val="0"/>
        <w:adjustRightInd w:val="0"/>
        <w:spacing w:line="240" w:lineRule="auto"/>
        <w:ind w:left="480" w:hanging="480"/>
        <w:rPr>
          <w:rFonts w:ascii="Calibri" w:hAnsi="Calibri" w:cs="Calibri"/>
          <w:noProof/>
          <w:sz w:val="18"/>
          <w:szCs w:val="20"/>
        </w:rPr>
      </w:pPr>
      <w:r w:rsidRPr="007C6EF9">
        <w:rPr>
          <w:rFonts w:ascii="Calibri" w:hAnsi="Calibri" w:cs="Calibri"/>
          <w:noProof/>
          <w:sz w:val="18"/>
          <w:szCs w:val="20"/>
        </w:rPr>
        <w:t xml:space="preserve">Brown M., Black E., Asfaw D., Otu-Larbi F. 2017. Monitoring drought in Ghana using TAMSAT-ALERT: a new decision support system. </w:t>
      </w:r>
      <w:r w:rsidRPr="007C6EF9">
        <w:rPr>
          <w:rFonts w:ascii="Calibri" w:hAnsi="Calibri" w:cs="Calibri"/>
          <w:i/>
          <w:iCs/>
          <w:noProof/>
          <w:sz w:val="18"/>
          <w:szCs w:val="20"/>
        </w:rPr>
        <w:t>Weather</w:t>
      </w:r>
      <w:r w:rsidRPr="007C6EF9">
        <w:rPr>
          <w:rFonts w:ascii="Calibri" w:hAnsi="Calibri" w:cs="Calibri"/>
          <w:noProof/>
          <w:sz w:val="18"/>
          <w:szCs w:val="20"/>
        </w:rPr>
        <w:t xml:space="preserve"> </w:t>
      </w:r>
      <w:r w:rsidRPr="007C6EF9">
        <w:rPr>
          <w:rFonts w:ascii="Calibri" w:hAnsi="Calibri" w:cs="Calibri"/>
          <w:b/>
          <w:bCs/>
          <w:noProof/>
          <w:sz w:val="18"/>
          <w:szCs w:val="20"/>
        </w:rPr>
        <w:t>72</w:t>
      </w:r>
      <w:r w:rsidRPr="007C6EF9">
        <w:rPr>
          <w:rFonts w:ascii="Calibri" w:hAnsi="Calibri" w:cs="Calibri"/>
          <w:noProof/>
          <w:sz w:val="18"/>
          <w:szCs w:val="20"/>
        </w:rPr>
        <w:t>:201–205.</w:t>
      </w:r>
    </w:p>
    <w:p w14:paraId="691F4D15" w14:textId="77777777" w:rsidR="007C6EF9" w:rsidRPr="007C6EF9" w:rsidRDefault="007C6EF9" w:rsidP="007C6EF9">
      <w:pPr>
        <w:widowControl w:val="0"/>
        <w:autoSpaceDE w:val="0"/>
        <w:autoSpaceDN w:val="0"/>
        <w:adjustRightInd w:val="0"/>
        <w:spacing w:line="240" w:lineRule="auto"/>
        <w:ind w:left="480" w:hanging="480"/>
        <w:rPr>
          <w:rFonts w:ascii="Calibri" w:hAnsi="Calibri" w:cs="Calibri"/>
          <w:noProof/>
          <w:sz w:val="18"/>
          <w:szCs w:val="20"/>
        </w:rPr>
      </w:pPr>
      <w:r w:rsidRPr="007C6EF9">
        <w:rPr>
          <w:rFonts w:ascii="Calibri" w:hAnsi="Calibri" w:cs="Calibri"/>
          <w:noProof/>
          <w:sz w:val="18"/>
          <w:szCs w:val="20"/>
        </w:rPr>
        <w:t xml:space="preserve">Coughlan De Perez E., Van Den Hurk B., Van Aalst MK., Jongman B., Klose T., Suarez P. 2015. Forecast-based financing: An approach for catalyzing humanitarian action based on extreme weather and climate forecasts. </w:t>
      </w:r>
      <w:r w:rsidRPr="007C6EF9">
        <w:rPr>
          <w:rFonts w:ascii="Calibri" w:hAnsi="Calibri" w:cs="Calibri"/>
          <w:i/>
          <w:iCs/>
          <w:noProof/>
          <w:sz w:val="18"/>
          <w:szCs w:val="20"/>
        </w:rPr>
        <w:t>Nat. Hazards Earth Syst. Sci.</w:t>
      </w:r>
      <w:r w:rsidRPr="007C6EF9">
        <w:rPr>
          <w:rFonts w:ascii="Calibri" w:hAnsi="Calibri" w:cs="Calibri"/>
          <w:noProof/>
          <w:sz w:val="18"/>
          <w:szCs w:val="20"/>
        </w:rPr>
        <w:t xml:space="preserve"> </w:t>
      </w:r>
      <w:r w:rsidRPr="007C6EF9">
        <w:rPr>
          <w:rFonts w:ascii="Calibri" w:hAnsi="Calibri" w:cs="Calibri"/>
          <w:b/>
          <w:bCs/>
          <w:noProof/>
          <w:sz w:val="18"/>
          <w:szCs w:val="20"/>
        </w:rPr>
        <w:t>15</w:t>
      </w:r>
      <w:r w:rsidRPr="007C6EF9">
        <w:rPr>
          <w:rFonts w:ascii="Calibri" w:hAnsi="Calibri" w:cs="Calibri"/>
          <w:noProof/>
          <w:sz w:val="18"/>
          <w:szCs w:val="20"/>
        </w:rPr>
        <w:t>:895–904.</w:t>
      </w:r>
    </w:p>
    <w:p w14:paraId="70DD0414" w14:textId="77777777" w:rsidR="007C6EF9" w:rsidRPr="007C6EF9" w:rsidRDefault="007C6EF9" w:rsidP="007C6EF9">
      <w:pPr>
        <w:widowControl w:val="0"/>
        <w:autoSpaceDE w:val="0"/>
        <w:autoSpaceDN w:val="0"/>
        <w:adjustRightInd w:val="0"/>
        <w:spacing w:line="240" w:lineRule="auto"/>
        <w:ind w:left="480" w:hanging="480"/>
        <w:rPr>
          <w:rFonts w:ascii="Calibri" w:hAnsi="Calibri" w:cs="Calibri"/>
          <w:noProof/>
          <w:sz w:val="18"/>
          <w:szCs w:val="20"/>
        </w:rPr>
      </w:pPr>
      <w:r w:rsidRPr="007C6EF9">
        <w:rPr>
          <w:rFonts w:ascii="Calibri" w:hAnsi="Calibri" w:cs="Calibri"/>
          <w:noProof/>
          <w:sz w:val="18"/>
          <w:szCs w:val="20"/>
        </w:rPr>
        <w:t xml:space="preserve">Liu WT., Kogan FN. 1996. Monitoring regional drought using the vegetation condition index. </w:t>
      </w:r>
      <w:r w:rsidRPr="007C6EF9">
        <w:rPr>
          <w:rFonts w:ascii="Calibri" w:hAnsi="Calibri" w:cs="Calibri"/>
          <w:i/>
          <w:iCs/>
          <w:noProof/>
          <w:sz w:val="18"/>
          <w:szCs w:val="20"/>
        </w:rPr>
        <w:t>Int. J. Remote Sens.</w:t>
      </w:r>
      <w:r w:rsidRPr="007C6EF9">
        <w:rPr>
          <w:rFonts w:ascii="Calibri" w:hAnsi="Calibri" w:cs="Calibri"/>
          <w:noProof/>
          <w:sz w:val="18"/>
          <w:szCs w:val="20"/>
        </w:rPr>
        <w:t xml:space="preserve"> </w:t>
      </w:r>
      <w:r w:rsidRPr="007C6EF9">
        <w:rPr>
          <w:rFonts w:ascii="Calibri" w:hAnsi="Calibri" w:cs="Calibri"/>
          <w:b/>
          <w:bCs/>
          <w:noProof/>
          <w:sz w:val="18"/>
          <w:szCs w:val="20"/>
        </w:rPr>
        <w:t>17</w:t>
      </w:r>
      <w:r w:rsidRPr="007C6EF9">
        <w:rPr>
          <w:rFonts w:ascii="Calibri" w:hAnsi="Calibri" w:cs="Calibri"/>
          <w:noProof/>
          <w:sz w:val="18"/>
          <w:szCs w:val="20"/>
        </w:rPr>
        <w:t>:2761–2782.</w:t>
      </w:r>
    </w:p>
    <w:p w14:paraId="69F27138" w14:textId="77777777" w:rsidR="007C6EF9" w:rsidRPr="007C6EF9" w:rsidRDefault="007C6EF9" w:rsidP="007C6EF9">
      <w:pPr>
        <w:widowControl w:val="0"/>
        <w:autoSpaceDE w:val="0"/>
        <w:autoSpaceDN w:val="0"/>
        <w:adjustRightInd w:val="0"/>
        <w:spacing w:line="240" w:lineRule="auto"/>
        <w:ind w:left="480" w:hanging="480"/>
        <w:rPr>
          <w:rFonts w:ascii="Calibri" w:hAnsi="Calibri" w:cs="Calibri"/>
          <w:noProof/>
          <w:sz w:val="18"/>
          <w:szCs w:val="20"/>
        </w:rPr>
      </w:pPr>
      <w:r w:rsidRPr="007C6EF9">
        <w:rPr>
          <w:rFonts w:ascii="Calibri" w:hAnsi="Calibri" w:cs="Calibri"/>
          <w:noProof/>
          <w:sz w:val="18"/>
          <w:szCs w:val="20"/>
        </w:rPr>
        <w:t xml:space="preserve">Maidment RI., Grimes D., Black E., Tarnavsky E., Young M., Greatrex H., Allan RP., Stein T., Nkonde E., Senkunda S., Alcántara EMU. 2017. A new, long-term daily satellite-based rainfall dataset for operational monitoring in Africa. </w:t>
      </w:r>
      <w:r w:rsidRPr="007C6EF9">
        <w:rPr>
          <w:rFonts w:ascii="Calibri" w:hAnsi="Calibri" w:cs="Calibri"/>
          <w:i/>
          <w:iCs/>
          <w:noProof/>
          <w:sz w:val="18"/>
          <w:szCs w:val="20"/>
        </w:rPr>
        <w:t>Sci. Data</w:t>
      </w:r>
      <w:r w:rsidRPr="007C6EF9">
        <w:rPr>
          <w:rFonts w:ascii="Calibri" w:hAnsi="Calibri" w:cs="Calibri"/>
          <w:noProof/>
          <w:sz w:val="18"/>
          <w:szCs w:val="20"/>
        </w:rPr>
        <w:t xml:space="preserve"> </w:t>
      </w:r>
      <w:r w:rsidRPr="007C6EF9">
        <w:rPr>
          <w:rFonts w:ascii="Calibri" w:hAnsi="Calibri" w:cs="Calibri"/>
          <w:b/>
          <w:bCs/>
          <w:noProof/>
          <w:sz w:val="18"/>
          <w:szCs w:val="20"/>
        </w:rPr>
        <w:t>4</w:t>
      </w:r>
      <w:r w:rsidRPr="007C6EF9">
        <w:rPr>
          <w:rFonts w:ascii="Calibri" w:hAnsi="Calibri" w:cs="Calibri"/>
          <w:noProof/>
          <w:sz w:val="18"/>
          <w:szCs w:val="20"/>
        </w:rPr>
        <w:t>.</w:t>
      </w:r>
    </w:p>
    <w:p w14:paraId="14EE5839" w14:textId="77777777" w:rsidR="007C6EF9" w:rsidRPr="007C6EF9" w:rsidRDefault="007C6EF9" w:rsidP="007C6EF9">
      <w:pPr>
        <w:widowControl w:val="0"/>
        <w:autoSpaceDE w:val="0"/>
        <w:autoSpaceDN w:val="0"/>
        <w:adjustRightInd w:val="0"/>
        <w:spacing w:line="240" w:lineRule="auto"/>
        <w:ind w:left="480" w:hanging="480"/>
        <w:rPr>
          <w:rFonts w:ascii="Calibri" w:hAnsi="Calibri" w:cs="Calibri"/>
          <w:noProof/>
          <w:sz w:val="18"/>
          <w:szCs w:val="20"/>
        </w:rPr>
      </w:pPr>
      <w:r w:rsidRPr="007C6EF9">
        <w:rPr>
          <w:rFonts w:ascii="Calibri" w:hAnsi="Calibri" w:cs="Calibri"/>
          <w:noProof/>
          <w:sz w:val="18"/>
          <w:szCs w:val="20"/>
        </w:rPr>
        <w:t xml:space="preserve">Pettorelli N., Vik JO., Mysterud A., Gaillard JM., Tucker CJ., Stenseth NC. 2005. Using the satellite-derived NDVI to assess ecological responses to environmental change. </w:t>
      </w:r>
      <w:r w:rsidRPr="007C6EF9">
        <w:rPr>
          <w:rFonts w:ascii="Calibri" w:hAnsi="Calibri" w:cs="Calibri"/>
          <w:i/>
          <w:iCs/>
          <w:noProof/>
          <w:sz w:val="18"/>
          <w:szCs w:val="20"/>
        </w:rPr>
        <w:t>Trends Ecol. Evol.</w:t>
      </w:r>
      <w:r w:rsidRPr="007C6EF9">
        <w:rPr>
          <w:rFonts w:ascii="Calibri" w:hAnsi="Calibri" w:cs="Calibri"/>
          <w:noProof/>
          <w:sz w:val="18"/>
          <w:szCs w:val="20"/>
        </w:rPr>
        <w:t xml:space="preserve"> </w:t>
      </w:r>
      <w:r w:rsidRPr="007C6EF9">
        <w:rPr>
          <w:rFonts w:ascii="Calibri" w:hAnsi="Calibri" w:cs="Calibri"/>
          <w:b/>
          <w:bCs/>
          <w:noProof/>
          <w:sz w:val="18"/>
          <w:szCs w:val="20"/>
        </w:rPr>
        <w:t>20</w:t>
      </w:r>
      <w:r w:rsidRPr="007C6EF9">
        <w:rPr>
          <w:rFonts w:ascii="Calibri" w:hAnsi="Calibri" w:cs="Calibri"/>
          <w:noProof/>
          <w:sz w:val="18"/>
          <w:szCs w:val="20"/>
        </w:rPr>
        <w:t>:503–510.</w:t>
      </w:r>
    </w:p>
    <w:p w14:paraId="16BB453F" w14:textId="77777777" w:rsidR="007C6EF9" w:rsidRPr="007C6EF9" w:rsidRDefault="007C6EF9" w:rsidP="007C6EF9">
      <w:pPr>
        <w:widowControl w:val="0"/>
        <w:autoSpaceDE w:val="0"/>
        <w:autoSpaceDN w:val="0"/>
        <w:adjustRightInd w:val="0"/>
        <w:spacing w:line="240" w:lineRule="auto"/>
        <w:ind w:left="480" w:hanging="480"/>
        <w:rPr>
          <w:rFonts w:ascii="Calibri" w:hAnsi="Calibri" w:cs="Calibri"/>
          <w:noProof/>
          <w:sz w:val="18"/>
          <w:szCs w:val="20"/>
        </w:rPr>
      </w:pPr>
      <w:r w:rsidRPr="007C6EF9">
        <w:rPr>
          <w:rFonts w:ascii="Calibri" w:hAnsi="Calibri" w:cs="Calibri"/>
          <w:noProof/>
          <w:sz w:val="18"/>
          <w:szCs w:val="20"/>
        </w:rPr>
        <w:t xml:space="preserve">Reed BC., Brown JF., VanderZee D., Loveland TR., Merchant JW., Ohlen DO. 1994. Measuring phenological variability from satellite imagery. </w:t>
      </w:r>
      <w:r w:rsidRPr="007C6EF9">
        <w:rPr>
          <w:rFonts w:ascii="Calibri" w:hAnsi="Calibri" w:cs="Calibri"/>
          <w:i/>
          <w:iCs/>
          <w:noProof/>
          <w:sz w:val="18"/>
          <w:szCs w:val="20"/>
        </w:rPr>
        <w:t>J. Veg. Sci.</w:t>
      </w:r>
      <w:r w:rsidRPr="007C6EF9">
        <w:rPr>
          <w:rFonts w:ascii="Calibri" w:hAnsi="Calibri" w:cs="Calibri"/>
          <w:noProof/>
          <w:sz w:val="18"/>
          <w:szCs w:val="20"/>
        </w:rPr>
        <w:t xml:space="preserve"> </w:t>
      </w:r>
      <w:r w:rsidRPr="007C6EF9">
        <w:rPr>
          <w:rFonts w:ascii="Calibri" w:hAnsi="Calibri" w:cs="Calibri"/>
          <w:b/>
          <w:bCs/>
          <w:noProof/>
          <w:sz w:val="18"/>
          <w:szCs w:val="20"/>
        </w:rPr>
        <w:t>5</w:t>
      </w:r>
      <w:r w:rsidRPr="007C6EF9">
        <w:rPr>
          <w:rFonts w:ascii="Calibri" w:hAnsi="Calibri" w:cs="Calibri"/>
          <w:noProof/>
          <w:sz w:val="18"/>
          <w:szCs w:val="20"/>
        </w:rPr>
        <w:t>:703–714.</w:t>
      </w:r>
    </w:p>
    <w:p w14:paraId="295C40C1" w14:textId="77777777" w:rsidR="007C6EF9" w:rsidRPr="007C6EF9" w:rsidRDefault="007C6EF9" w:rsidP="007C6EF9">
      <w:pPr>
        <w:widowControl w:val="0"/>
        <w:autoSpaceDE w:val="0"/>
        <w:autoSpaceDN w:val="0"/>
        <w:adjustRightInd w:val="0"/>
        <w:spacing w:line="240" w:lineRule="auto"/>
        <w:ind w:left="480" w:hanging="480"/>
        <w:rPr>
          <w:rFonts w:ascii="Calibri" w:hAnsi="Calibri" w:cs="Calibri"/>
          <w:noProof/>
          <w:sz w:val="18"/>
          <w:szCs w:val="18"/>
        </w:rPr>
      </w:pPr>
      <w:r w:rsidRPr="007C6EF9">
        <w:rPr>
          <w:rFonts w:ascii="Calibri" w:hAnsi="Calibri" w:cs="Calibri"/>
          <w:noProof/>
          <w:sz w:val="18"/>
          <w:szCs w:val="20"/>
        </w:rPr>
        <w:t xml:space="preserve">Tucker CJ., Townshend JRG., Goff TE. 1985. African Land-Cover Classification Using Satellite Data. </w:t>
      </w:r>
      <w:r w:rsidRPr="007C6EF9">
        <w:rPr>
          <w:rFonts w:ascii="Calibri" w:hAnsi="Calibri" w:cs="Calibri"/>
          <w:i/>
          <w:iCs/>
          <w:noProof/>
          <w:sz w:val="18"/>
          <w:szCs w:val="20"/>
        </w:rPr>
        <w:t>Science (80-. ).</w:t>
      </w:r>
      <w:r w:rsidRPr="007C6EF9">
        <w:rPr>
          <w:rFonts w:ascii="Calibri" w:hAnsi="Calibri" w:cs="Calibri"/>
          <w:noProof/>
          <w:sz w:val="18"/>
          <w:szCs w:val="20"/>
        </w:rPr>
        <w:t xml:space="preserve"> </w:t>
      </w:r>
      <w:r w:rsidRPr="007C6EF9">
        <w:rPr>
          <w:rFonts w:ascii="Calibri" w:hAnsi="Calibri" w:cs="Calibri"/>
          <w:b/>
          <w:bCs/>
          <w:noProof/>
          <w:sz w:val="18"/>
          <w:szCs w:val="20"/>
        </w:rPr>
        <w:t>227</w:t>
      </w:r>
      <w:r w:rsidRPr="007C6EF9">
        <w:rPr>
          <w:rFonts w:ascii="Calibri" w:hAnsi="Calibri" w:cs="Calibri"/>
          <w:noProof/>
          <w:sz w:val="18"/>
          <w:szCs w:val="20"/>
        </w:rPr>
        <w:t>:369–375.</w:t>
      </w:r>
    </w:p>
    <w:p w14:paraId="28D5BF88" w14:textId="3DD761F5" w:rsidR="007C6EF9" w:rsidRPr="00B57F08" w:rsidRDefault="007C6EF9" w:rsidP="00B57F08">
      <w:r w:rsidRPr="007C6EF9">
        <w:rPr>
          <w:sz w:val="18"/>
          <w:szCs w:val="18"/>
        </w:rPr>
        <w:fldChar w:fldCharType="end"/>
      </w:r>
    </w:p>
    <w:sectPr w:rsidR="007C6EF9" w:rsidRPr="00B57F08" w:rsidSect="0009418C">
      <w:headerReference w:type="default" r:id="rId16"/>
      <w:footerReference w:type="default" r:id="rId17"/>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5BE43" w14:textId="77777777" w:rsidR="0012788E" w:rsidRDefault="0012788E" w:rsidP="00672C48">
      <w:pPr>
        <w:spacing w:after="0" w:line="240" w:lineRule="auto"/>
      </w:pPr>
      <w:r>
        <w:separator/>
      </w:r>
    </w:p>
  </w:endnote>
  <w:endnote w:type="continuationSeparator" w:id="0">
    <w:p w14:paraId="2AEA993C" w14:textId="77777777" w:rsidR="0012788E" w:rsidRDefault="0012788E" w:rsidP="00672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1905685"/>
      <w:docPartObj>
        <w:docPartGallery w:val="Page Numbers (Bottom of Page)"/>
        <w:docPartUnique/>
      </w:docPartObj>
    </w:sdtPr>
    <w:sdtEndPr>
      <w:rPr>
        <w:noProof/>
      </w:rPr>
    </w:sdtEndPr>
    <w:sdtContent>
      <w:p w14:paraId="55BF5834" w14:textId="0776516E" w:rsidR="00672C48" w:rsidRPr="0009418C" w:rsidRDefault="00672C48" w:rsidP="00672C48">
        <w:pPr>
          <w:pStyle w:val="Footer"/>
          <w:jc w:val="right"/>
        </w:pPr>
        <w:r w:rsidRPr="0009418C">
          <w:fldChar w:fldCharType="begin"/>
        </w:r>
        <w:r w:rsidRPr="0009418C">
          <w:instrText xml:space="preserve"> PAGE   \* MERGEFORMAT </w:instrText>
        </w:r>
        <w:r w:rsidRPr="0009418C">
          <w:fldChar w:fldCharType="separate"/>
        </w:r>
        <w:r w:rsidRPr="0009418C">
          <w:rPr>
            <w:noProof/>
          </w:rPr>
          <w:t>2</w:t>
        </w:r>
        <w:r w:rsidRPr="0009418C">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FF81F" w14:textId="77777777" w:rsidR="0012788E" w:rsidRDefault="0012788E" w:rsidP="00672C48">
      <w:pPr>
        <w:spacing w:after="0" w:line="240" w:lineRule="auto"/>
      </w:pPr>
      <w:r>
        <w:separator/>
      </w:r>
    </w:p>
  </w:footnote>
  <w:footnote w:type="continuationSeparator" w:id="0">
    <w:p w14:paraId="3B15E712" w14:textId="77777777" w:rsidR="0012788E" w:rsidRDefault="0012788E" w:rsidP="00672C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90B56" w14:textId="508A4441" w:rsidR="001F65E0" w:rsidRPr="001F65E0" w:rsidRDefault="001F65E0" w:rsidP="001F65E0">
    <w:pPr>
      <w:pStyle w:val="Header"/>
      <w:rPr>
        <w:i/>
        <w:iCs/>
        <w:sz w:val="14"/>
        <w:szCs w:val="14"/>
      </w:rPr>
    </w:pPr>
    <w:r w:rsidRPr="0009418C">
      <w:rPr>
        <w:noProof/>
      </w:rPr>
      <w:drawing>
        <wp:anchor distT="0" distB="0" distL="114300" distR="114300" simplePos="0" relativeHeight="251658240" behindDoc="1" locked="0" layoutInCell="1" allowOverlap="1" wp14:anchorId="140F02F0" wp14:editId="1F201362">
          <wp:simplePos x="0" y="0"/>
          <wp:positionH relativeFrom="margin">
            <wp:align>right</wp:align>
          </wp:positionH>
          <wp:positionV relativeFrom="paragraph">
            <wp:posOffset>11430</wp:posOffset>
          </wp:positionV>
          <wp:extent cx="894715" cy="427990"/>
          <wp:effectExtent l="0" t="0" r="635" b="0"/>
          <wp:wrapTight wrapText="bothSides">
            <wp:wrapPolygon edited="0">
              <wp:start x="0" y="0"/>
              <wp:lineTo x="0" y="20190"/>
              <wp:lineTo x="21155" y="20190"/>
              <wp:lineTo x="211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94715" cy="427990"/>
                  </a:xfrm>
                  <a:prstGeom prst="rect">
                    <a:avLst/>
                  </a:prstGeom>
                </pic:spPr>
              </pic:pic>
            </a:graphicData>
          </a:graphic>
          <wp14:sizeRelH relativeFrom="page">
            <wp14:pctWidth>0</wp14:pctWidth>
          </wp14:sizeRelH>
          <wp14:sizeRelV relativeFrom="page">
            <wp14:pctHeight>0</wp14:pctHeight>
          </wp14:sizeRelV>
        </wp:anchor>
      </w:drawing>
    </w:r>
  </w:p>
  <w:p w14:paraId="7A4F8C88" w14:textId="450B99FF" w:rsidR="00672C48" w:rsidRPr="00672C48" w:rsidRDefault="00672C48" w:rsidP="001F65E0">
    <w:pPr>
      <w:pStyle w:val="Header"/>
      <w:rPr>
        <w:i/>
        <w:iCs/>
        <w:color w:val="7F7F7F" w:themeColor="text1" w:themeTint="80"/>
      </w:rPr>
    </w:pPr>
    <w:r w:rsidRPr="0009418C">
      <w:rPr>
        <w:i/>
        <w:iCs/>
      </w:rPr>
      <w:t xml:space="preserve">Validation of TAMSAT-ALERT </w:t>
    </w:r>
    <w:r w:rsidR="00B8608B" w:rsidRPr="0009418C">
      <w:rPr>
        <w:i/>
        <w:iCs/>
      </w:rPr>
      <w:t>–</w:t>
    </w:r>
    <w:r w:rsidRPr="0009418C">
      <w:rPr>
        <w:i/>
        <w:iCs/>
      </w:rPr>
      <w:t xml:space="preserve"> </w:t>
    </w:r>
    <w:r w:rsidR="009E70FE">
      <w:rPr>
        <w:i/>
        <w:iCs/>
      </w:rPr>
      <w:t>Lesotho</w:t>
    </w:r>
    <w:r w:rsidR="00B8608B">
      <w:rPr>
        <w:i/>
        <w:iCs/>
        <w:color w:val="7F7F7F" w:themeColor="text1" w:themeTint="80"/>
      </w:rPr>
      <w:tab/>
    </w:r>
    <w:r w:rsidR="00B8608B">
      <w:rPr>
        <w:i/>
        <w:iCs/>
        <w:color w:val="7F7F7F" w:themeColor="text1" w:themeTint="80"/>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E019B"/>
    <w:multiLevelType w:val="hybridMultilevel"/>
    <w:tmpl w:val="9C6EC888"/>
    <w:lvl w:ilvl="0" w:tplc="08090005">
      <w:start w:val="1"/>
      <w:numFmt w:val="bullet"/>
      <w:lvlText w:val=""/>
      <w:lvlJc w:val="left"/>
      <w:pPr>
        <w:ind w:left="720" w:hanging="72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3450E8D"/>
    <w:multiLevelType w:val="hybridMultilevel"/>
    <w:tmpl w:val="E1F629B0"/>
    <w:lvl w:ilvl="0" w:tplc="531CB192">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3B7110"/>
    <w:multiLevelType w:val="hybridMultilevel"/>
    <w:tmpl w:val="A4943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D74378"/>
    <w:multiLevelType w:val="hybridMultilevel"/>
    <w:tmpl w:val="308E3546"/>
    <w:lvl w:ilvl="0" w:tplc="EBBC493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C48"/>
    <w:rsid w:val="00012263"/>
    <w:rsid w:val="00032414"/>
    <w:rsid w:val="00061DDC"/>
    <w:rsid w:val="0006677E"/>
    <w:rsid w:val="0009418C"/>
    <w:rsid w:val="00095BEE"/>
    <w:rsid w:val="000A2AA3"/>
    <w:rsid w:val="000C13D7"/>
    <w:rsid w:val="0011567D"/>
    <w:rsid w:val="0012788E"/>
    <w:rsid w:val="0016322B"/>
    <w:rsid w:val="00173BA1"/>
    <w:rsid w:val="001B73F0"/>
    <w:rsid w:val="001D62FB"/>
    <w:rsid w:val="001E48EA"/>
    <w:rsid w:val="001F65E0"/>
    <w:rsid w:val="0020245D"/>
    <w:rsid w:val="00234208"/>
    <w:rsid w:val="002552B7"/>
    <w:rsid w:val="00256162"/>
    <w:rsid w:val="002A1FCA"/>
    <w:rsid w:val="002C4490"/>
    <w:rsid w:val="002C7E3F"/>
    <w:rsid w:val="002D3A54"/>
    <w:rsid w:val="003001FB"/>
    <w:rsid w:val="0031571A"/>
    <w:rsid w:val="003172BA"/>
    <w:rsid w:val="00320CB6"/>
    <w:rsid w:val="00322BEE"/>
    <w:rsid w:val="00331D1D"/>
    <w:rsid w:val="003A05A6"/>
    <w:rsid w:val="003C6E09"/>
    <w:rsid w:val="003F3290"/>
    <w:rsid w:val="00415018"/>
    <w:rsid w:val="00441352"/>
    <w:rsid w:val="00445487"/>
    <w:rsid w:val="00452F31"/>
    <w:rsid w:val="004712A8"/>
    <w:rsid w:val="004738B2"/>
    <w:rsid w:val="00481691"/>
    <w:rsid w:val="004B3A0D"/>
    <w:rsid w:val="004D6596"/>
    <w:rsid w:val="004F2572"/>
    <w:rsid w:val="00525767"/>
    <w:rsid w:val="0053440C"/>
    <w:rsid w:val="00553A08"/>
    <w:rsid w:val="0056031E"/>
    <w:rsid w:val="005A66FD"/>
    <w:rsid w:val="00610532"/>
    <w:rsid w:val="00611BCA"/>
    <w:rsid w:val="006424E1"/>
    <w:rsid w:val="006530F0"/>
    <w:rsid w:val="00662DE4"/>
    <w:rsid w:val="00672C48"/>
    <w:rsid w:val="006D79FB"/>
    <w:rsid w:val="00701471"/>
    <w:rsid w:val="0070525F"/>
    <w:rsid w:val="00747736"/>
    <w:rsid w:val="007500A5"/>
    <w:rsid w:val="007941CF"/>
    <w:rsid w:val="007C6EF9"/>
    <w:rsid w:val="00884761"/>
    <w:rsid w:val="008C2546"/>
    <w:rsid w:val="008C7F46"/>
    <w:rsid w:val="00902FB8"/>
    <w:rsid w:val="009207A9"/>
    <w:rsid w:val="009339A5"/>
    <w:rsid w:val="00945724"/>
    <w:rsid w:val="00951DAE"/>
    <w:rsid w:val="009531C1"/>
    <w:rsid w:val="00982DED"/>
    <w:rsid w:val="00997893"/>
    <w:rsid w:val="009A2300"/>
    <w:rsid w:val="009E70FE"/>
    <w:rsid w:val="00A64146"/>
    <w:rsid w:val="00AA594A"/>
    <w:rsid w:val="00AD50FE"/>
    <w:rsid w:val="00AE223D"/>
    <w:rsid w:val="00AE40C9"/>
    <w:rsid w:val="00B57F08"/>
    <w:rsid w:val="00B801A2"/>
    <w:rsid w:val="00B8608B"/>
    <w:rsid w:val="00B86687"/>
    <w:rsid w:val="00BE0EA2"/>
    <w:rsid w:val="00BE66A8"/>
    <w:rsid w:val="00C357FE"/>
    <w:rsid w:val="00CB7E06"/>
    <w:rsid w:val="00CF0AB0"/>
    <w:rsid w:val="00CF28BF"/>
    <w:rsid w:val="00D0456F"/>
    <w:rsid w:val="00D4653C"/>
    <w:rsid w:val="00D87A1D"/>
    <w:rsid w:val="00E56F29"/>
    <w:rsid w:val="00E67CAE"/>
    <w:rsid w:val="00E73CE1"/>
    <w:rsid w:val="00E75016"/>
    <w:rsid w:val="00ED5B2A"/>
    <w:rsid w:val="00F27BEB"/>
    <w:rsid w:val="00FE4E73"/>
    <w:rsid w:val="00FF2D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94D13"/>
  <w15:chartTrackingRefBased/>
  <w15:docId w15:val="{35AEC568-416D-4E26-AB4F-661C3A29A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F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7F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2C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C48"/>
  </w:style>
  <w:style w:type="paragraph" w:styleId="Footer">
    <w:name w:val="footer"/>
    <w:basedOn w:val="Normal"/>
    <w:link w:val="FooterChar"/>
    <w:uiPriority w:val="99"/>
    <w:unhideWhenUsed/>
    <w:rsid w:val="00672C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C48"/>
  </w:style>
  <w:style w:type="paragraph" w:styleId="Title">
    <w:name w:val="Title"/>
    <w:basedOn w:val="Normal"/>
    <w:next w:val="Normal"/>
    <w:link w:val="TitleChar"/>
    <w:uiPriority w:val="10"/>
    <w:qFormat/>
    <w:rsid w:val="000324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41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32414"/>
    <w:rPr>
      <w:color w:val="0563C1" w:themeColor="hyperlink"/>
      <w:u w:val="single"/>
    </w:rPr>
  </w:style>
  <w:style w:type="character" w:styleId="UnresolvedMention">
    <w:name w:val="Unresolved Mention"/>
    <w:basedOn w:val="DefaultParagraphFont"/>
    <w:uiPriority w:val="99"/>
    <w:semiHidden/>
    <w:unhideWhenUsed/>
    <w:rsid w:val="00032414"/>
    <w:rPr>
      <w:color w:val="605E5C"/>
      <w:shd w:val="clear" w:color="auto" w:fill="E1DFDD"/>
    </w:rPr>
  </w:style>
  <w:style w:type="paragraph" w:styleId="NoSpacing">
    <w:name w:val="No Spacing"/>
    <w:uiPriority w:val="1"/>
    <w:qFormat/>
    <w:rsid w:val="006424E1"/>
    <w:pPr>
      <w:spacing w:after="0" w:line="240" w:lineRule="auto"/>
    </w:pPr>
  </w:style>
  <w:style w:type="character" w:customStyle="1" w:styleId="Heading1Char">
    <w:name w:val="Heading 1 Char"/>
    <w:basedOn w:val="DefaultParagraphFont"/>
    <w:link w:val="Heading1"/>
    <w:uiPriority w:val="9"/>
    <w:rsid w:val="00452F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7F0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1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l.boult@reading.ac.uk"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o.org/giews/countrybrief/country.jsp?code=LSO"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44605-EF6C-4CAC-A725-973F0085C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6</Pages>
  <Words>5552</Words>
  <Characters>31651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Boult</dc:creator>
  <cp:keywords/>
  <dc:description/>
  <cp:lastModifiedBy>Vicky Boult</cp:lastModifiedBy>
  <cp:revision>74</cp:revision>
  <dcterms:created xsi:type="dcterms:W3CDTF">2020-08-13T11:09:00Z</dcterms:created>
  <dcterms:modified xsi:type="dcterms:W3CDTF">2020-08-14T16:13:00Z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http://www.zotero.org/styles/meteorological-applications</vt:lpwstr>
  </property>
  <property fmtid="{D5CDD505-2E9C-101B-9397-08002B2CF9AE}" pid="4" name="Mendeley Unique User Id_1">
    <vt:lpwstr>1de70ef2-86ac-37e9-9719-a7964fb7f750</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http://www.zotero.org/styles/conservation-biology</vt:lpwstr>
  </property>
  <property fmtid="{D5CDD505-2E9C-101B-9397-08002B2CF9AE}" pid="14" name="Mendeley Recent Style Name 4_1">
    <vt:lpwstr>Conservation Biology</vt:lpwstr>
  </property>
  <property fmtid="{D5CDD505-2E9C-101B-9397-08002B2CF9AE}" pid="15" name="Mendeley Recent Style Id 5_1">
    <vt:lpwstr>http://www.zotero.org/styles/conservation-letters</vt:lpwstr>
  </property>
  <property fmtid="{D5CDD505-2E9C-101B-9397-08002B2CF9AE}" pid="16" name="Mendeley Recent Style Name 5_1">
    <vt:lpwstr>Conservation Letters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http://www.zotero.org/styles/meteorological-applications</vt:lpwstr>
  </property>
  <property fmtid="{D5CDD505-2E9C-101B-9397-08002B2CF9AE}" pid="22" name="Mendeley Recent Style Name 8_1">
    <vt:lpwstr>Meteorological Applications</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