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rPr>
          <w:sz w:val="22"/>
          <w:szCs w:val="22"/>
        </w:rPr>
      </w:pPr>
      <w:r>
        <w:rPr>
          <w:sz w:val="22"/>
          <w:szCs w:val="22"/>
        </w:rPr>
        <w:t>Rifat Ibn Alam</w:t>
      </w:r>
    </w:p>
    <w:p>
      <w:pPr>
        <w:spacing w:after="60"/>
        <w:rPr>
          <w:sz w:val="22"/>
          <w:szCs w:val="22"/>
        </w:rPr>
      </w:pPr>
      <w:r>
        <w:rPr>
          <w:sz w:val="22"/>
          <w:szCs w:val="22"/>
        </w:rPr>
        <w:t>Utah State University</w:t>
      </w:r>
    </w:p>
    <w:p>
      <w:pPr>
        <w:spacing w:after="240"/>
        <w:rPr>
          <w:sz w:val="22"/>
          <w:szCs w:val="22"/>
        </w:rPr>
      </w:pPr>
      <w:r>
        <w:rPr>
          <w:sz w:val="22"/>
          <w:szCs w:val="22"/>
        </w:rPr>
        <w:t>rifat.alam@usu.edu</w:t>
      </w:r>
    </w:p>
    <w:p>
      <w:pPr>
        <w:spacing w:after="240"/>
        <w:rPr>
          <w:sz w:val="22"/>
          <w:szCs w:val="22"/>
        </w:rPr>
      </w:pPr>
      <w:r>
        <w:rPr>
          <w:sz w:val="22"/>
          <w:szCs w:val="22"/>
        </w:rPr>
        <w:t>2026-07-24</w:t>
      </w:r>
    </w:p>
    <w:p>
      <w:pPr>
        <w:spacing w:after="60"/>
        <w:rPr>
          <w:sz w:val="22"/>
          <w:szCs w:val="22"/>
        </w:rPr>
      </w:pPr>
      <w:r>
        <w:rPr>
          <w:sz w:val="22"/>
          <w:szCs w:val="22"/>
        </w:rPr>
        <w:t xml:space="preserve">Editor-in-Chief</w:t>
      </w:r>
    </w:p>
    <w:p>
      <w:pPr>
        <w:spacing w:after="60"/>
        <w:rPr>
          <w:i/>
          <w:iCs/>
          <w:sz w:val="22"/>
          <w:szCs w:val="22"/>
        </w:rPr>
      </w:pPr>
      <w:r>
        <w:rPr>
          <w:i/>
          <w:iCs/>
          <w:sz w:val="22"/>
          <w:szCs w:val="22"/>
        </w:rPr>
        <w:t xml:space="preserve">Education and Information Technologies</w:t>
      </w:r>
    </w:p>
    <w:p>
      <w:pPr>
        <w:spacing w:after="360"/>
        <w:rPr>
          <w:sz w:val="22"/>
          <w:szCs w:val="22"/>
        </w:rPr>
      </w:pPr>
      <w:r>
        <w:rPr>
          <w:sz w:val="22"/>
          <w:szCs w:val="22"/>
        </w:rPr>
        <w:t xml:space="preserve">Springer</w:t>
      </w:r>
    </w:p>
    <w:p>
      <w:pPr>
        <w:spacing w:after="240"/>
        <w:rPr>
          <w:sz w:val="22"/>
          <w:szCs w:val="22"/>
        </w:rPr>
      </w:pPr>
      <w:r>
        <w:rPr>
          <w:sz w:val="22"/>
          <w:szCs w:val="22"/>
        </w:rPr>
        <w:t xml:space="preserve">Dear Editor,</w:t>
      </w:r>
    </w:p>
    <w:p>
      <w:pPr>
        <w:spacing w:after="120" w:line="360"/>
        <w:jc w:val="both"/>
      </w:pPr>
      <w:r>
        <w:rPr>
          <w:sz w:val="22"/>
          <w:szCs w:val="22"/>
        </w:rPr>
        <w:t xml:space="preserve">I am submitting the enclosed manuscript, "Can LLMs Replace Knowledge Tracing Models? A Multi-Provider Benchmark on ASSISTments-2009," for consideration as a research article in Education and Information Technologies. The manuscript reports a controlled multi-provider benchmark of frontier large language models against four specialized knowledge tracing models on the canonical ASSISTments-2009 corrected dataset, with full bootstrap confidence intervals on every comparison.</w:t>
      </w:r>
    </w:p>
    <w:p>
      <w:pPr>
        <w:spacing w:after="120" w:line="360"/>
        <w:jc w:val="both"/>
      </w:pPr>
      <w:r>
        <w:rPr>
          <w:sz w:val="22"/>
          <w:szCs w:val="22"/>
        </w:rPr>
        <w:t xml:space="preserve">The work makes three contributions to the educational data mining literature. First, it provides the first cross-provider LLM-KT benchmark on a public dataset, allowing direct comparison to the broader knowledge tracing literature. Second, it establishes that the LLM-KT performance gap is small but statistically significant (DKT 0.763 vs. best LLM 0.711, non-overlapping 95% CIs), refining recent claims that LLMs are categorically unsuitable for the task. Third, it shows that LLM-KT performance is invariant to provider and prompting strategy at the mid-frontier capability level, suggesting that the remaining gap is architectural rather than capability-bound.</w:t>
      </w:r>
    </w:p>
    <w:p>
      <w:pPr>
        <w:spacing w:after="120" w:line="360"/>
        <w:jc w:val="both"/>
      </w:pPr>
      <w:r>
        <w:rPr>
          <w:sz w:val="22"/>
          <w:szCs w:val="22"/>
        </w:rPr>
        <w:t>All code and preprocessing scripts are publicly available at https://github.com/RifatIbnAlam/llm-kt-benchmark. The dataset used is freely available. The work has not been published elsewhere and is not under consideration at any other journal.</w:t>
      </w:r>
    </w:p>
    <w:p>
      <w:pPr>
        <w:spacing w:after="120" w:line="360"/>
        <w:jc w:val="both"/>
      </w:pPr>
      <w:r>
        <w:rPr>
          <w:sz w:val="22"/>
          <w:szCs w:val="22"/>
        </w:rPr>
        <w:t xml:space="preserve">I believe this manuscript is a good fit for Education and Information Technologies given its focus on practical AI evaluation in educational settings, its methodological rigor, and its direct relevance to practitioners deciding whether to deploy LLMs in adaptive learning systems.</w:t>
      </w:r>
    </w:p>
    <w:p>
      <w:pPr>
        <w:spacing w:after="120" w:line="360"/>
        <w:jc w:val="both"/>
      </w:pPr>
      <w:r>
        <w:rPr>
          <w:sz w:val="22"/>
          <w:szCs w:val="22"/>
        </w:rPr>
        <w:t xml:space="preserve">Thank you for considering this submission. I look forward to your reply.</w:t>
      </w:r>
    </w:p>
    <w:p>
      <w:pPr>
        <w:spacing w:after="480" w:before="360"/>
        <w:rPr>
          <w:sz w:val="22"/>
          <w:szCs w:val="22"/>
        </w:rPr>
      </w:pPr>
      <w:r>
        <w:rPr>
          <w:sz w:val="22"/>
          <w:szCs w:val="22"/>
        </w:rPr>
        <w:t xml:space="preserve">Sincerely,</w:t>
      </w:r>
    </w:p>
    <w:p>
      <w:pPr>
        <w:rPr>
          <w:sz w:val="22"/>
          <w:szCs w:val="22"/>
        </w:rPr>
      </w:pPr>
      <w:r>
        <w:rPr>
          <w:sz w:val="22"/>
          <w:szCs w:val="22"/>
        </w:rPr>
        <w:t>Rifat Ibn Alam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2026-05-23T22:06:31.900Z</dcterms:created>
  <dcterms:modified xsi:type="dcterms:W3CDTF">2026-05-23T22:06:31.900Z</dcterms:modified>
</cp:coreProperties>
</file>

<file path=docProps/custom.xml><?xml version="1.0" encoding="utf-8"?>
<Properties xmlns="http://schemas.openxmlformats.org/officeDocument/2006/custom-properties" xmlns:vt="http://schemas.openxmlformats.org/officeDocument/2006/docPropsVTypes"/>
</file>