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Purpose: Knowledge tracing (KT) predicts next-question correctness from student interaction history and underpins adaptive learning. We test whether frontier large language models (LLMs) can replace specialized KT models, how performance depends on provider and prompting strategy, and what distinguishes LLM predictions from those of trained KT models.</w:t>
      </w:r>
      <w:r>
        <w:rPr>
          <w:sz w:val="22"/>
          <w:szCs w:val="22"/>
        </w:rPr>
      </w:r>
    </w:p>
    <w:p>
      <w:pPr>
        <w:spacing w:after="120" w:line="360"/>
        <w:jc w:val="both"/>
      </w:pPr>
      <w:r>
        <w:rPr>
          <w:b/>
          <w:bCs/>
          <w:sz w:val="22"/>
          <w:szCs w:val="22"/>
        </w:rPr>
        <w:t>Method: We benchmark nine conditions on ASSISTments-2009 corrected under identical student-level splits and a uniform AUC protocol: a trivial baseline; four specialized KT models (BKT, DKT, SAKT, AKT); and four LLM conditions crossing two providers (Claude Haiku 4.5, GPT-4o-mini) and two prompting strategies, all with 95% bootstrap confidence intervals. We also analyse 6,680 LLM predictions for calibration, output distributions, inter-LLM agreement, and cost.</w:t>
      </w:r>
      <w:r>
        <w:rPr>
          <w:sz w:val="22"/>
          <w:szCs w:val="22"/>
        </w:rPr>
      </w:r>
    </w:p>
    <w:p>
      <w:pPr>
        <w:spacing w:after="120" w:line="360"/>
        <w:jc w:val="both"/>
      </w:pPr>
      <w:r>
        <w:rPr>
          <w:b/>
          <w:bCs/>
          <w:sz w:val="22"/>
          <w:szCs w:val="22"/>
        </w:rPr>
        <w:t>Findings: Specialized KT models outperform every LLM condition: DKT reaches AUC 0.763 [0.757, 0.768] versus the best LLM's 0.711 [0.686, 0.738] (p &lt; 0.001). All four LLM conditions are statistically indistinguishable (0.696–0.711) yet exceed BKT (0.678) and approach SAKT (0.722). LLMs also show three deficits: per-position AUC is flat, so extra history goes unused; probabilities are miscalibrated (ECE 0.10–0.12) and anchored to round values; and the four conditions correlate at r = 0.83–0.93, consistent with a shared task ceiling.</w:t>
      </w:r>
      <w:r>
        <w:rPr>
          <w:sz w:val="22"/>
          <w:szCs w:val="22"/>
        </w:rPr>
      </w:r>
    </w:p>
    <w:p>
      <w:pPr>
        <w:spacing w:after="120" w:line="360"/>
        <w:jc w:val="both"/>
      </w:pPr>
      <w:r>
        <w:rPr>
          <w:b/>
          <w:bCs/>
          <w:sz w:val="22"/>
          <w:szCs w:val="22"/>
        </w:rPr>
        <w:t>Originality: This is the first multi-provider LLM-KT benchmark on a public dataset combining bootstrap confidence intervals with prediction-level analyses of calibration, anchoring, and inter-LLM agreement.</w:t>
      </w:r>
      <w:r>
        <w:rPr>
          <w:sz w:val="22"/>
          <w:szCs w:val="22"/>
        </w:rPr>
      </w:r>
    </w:p>
    <w:p>
      <w:pPr>
        <w:spacing w:after="120" w:line="360"/>
        <w:jc w:val="both"/>
      </w:pPr>
      <w:r>
        <w:rPr>
          <w:b/>
          <w:bCs/>
          <w:sz w:val="22"/>
          <w:szCs w:val="22"/>
        </w:rPr>
        <w:t>Implications: Specialized models dominate the cost-accuracy frontier at zero marginal cost, while LLM calls cost $0.03–$0.40 per 1,000 predictions ($126–$1,580/year at scale), pointing to concrete targets for hybrid LLM-KT architectures.</w:t>
      </w:r>
      <w:r>
        <w:rPr>
          <w:sz w:val="22"/>
          <w:szCs w:val="22"/>
        </w:rPr>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 xml:space="preserve">Three recent studies have begun to test this proposition empirically. Bhattacharyya, Mitton, Abboud, and Woodhead (2026) compared GPT-4o-mini, Gemini 2.5 Flash Lite, Qwen2.5-7B-Instruct, Llama-3.2-1B, and a LoRA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 xml:space="preserve">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2047875"/>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47875"/>
                    </a:xfrm>
                    <a:prstGeom prst="rect">
                      <a:avLst/>
                    </a:prstGeom>
                  </pic:spPr>
                </pic:pic>
              </a:graphicData>
            </a:graphic>
          </wp:inline>
        </w:drawing>
      </w:r>
    </w:p>
    <w:p>
      <w:pPr>
        <w:spacing w:after="240"/>
        <w:jc w:val="center"/>
        <w:rPr>
          <w:i/>
          <w:iCs/>
          <w:sz w:val="20"/>
          <w:szCs w:val="20"/>
        </w:rPr>
      </w:pPr>
      <w:r>
        <w:rPr>
          <w:i/>
          <w:iCs/>
          <w:sz w:val="20"/>
          <w:szCs w:val="20"/>
        </w:rPr>
        <w:t xml:space="preserve">Figure 2.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428750"/>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28750"/>
                    </a:xfrm>
                    <a:prstGeom prst="rect">
                      <a:avLst/>
                    </a:prstGeom>
                  </pic:spPr>
                </pic:pic>
              </a:graphicData>
            </a:graphic>
          </wp:inline>
        </w:drawing>
      </w:r>
    </w:p>
    <w:p>
      <w:pPr>
        <w:spacing w:after="240"/>
        <w:jc w:val="center"/>
        <w:rPr>
          <w:i/>
          <w:iCs/>
          <w:sz w:val="20"/>
          <w:szCs w:val="20"/>
        </w:rPr>
      </w:pPr>
      <w:r>
        <w:rPr>
          <w:i/>
          <w:iCs/>
          <w:sz w:val="20"/>
          <w:szCs w:val="20"/>
        </w:rPr>
        <w:t xml:space="preserve">Figure 3.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333750"/>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33750"/>
                    </a:xfrm>
                    <a:prstGeom prst="rect">
                      <a:avLst/>
                    </a:prstGeom>
                  </pic:spPr>
                </pic:pic>
              </a:graphicData>
            </a:graphic>
          </wp:inline>
        </w:drawing>
      </w:r>
    </w:p>
    <w:p>
      <w:pPr>
        <w:spacing w:after="240"/>
        <w:jc w:val="center"/>
        <w:rPr>
          <w:i/>
          <w:iCs/>
          <w:sz w:val="20"/>
          <w:szCs w:val="20"/>
        </w:rPr>
      </w:pPr>
      <w:r>
        <w:rPr>
          <w:i/>
          <w:iCs/>
          <w:sz w:val="20"/>
          <w:szCs w:val="20"/>
        </w:rPr>
        <w:t>Figure 4.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 xml:space="preserve">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that history is fully present in the prompt. The architectural commitment to longer-context evidence accumulation is what specialized models bring and LLMs lack.</w:t>
      </w:r>
    </w:p>
    <w:p>
      <w:pPr>
        <w:spacing w:after="120" w:line="360"/>
        <w:jc w:val="both"/>
      </w:pPr>
      <w:r>
        <w:rPr>
          <w:sz w:val="22"/>
          <w:szCs w:val="22"/>
        </w:rPr>
        <w:t xml:space="preserve">Specialized models are also trained on the target distribution. With 143,429 training interactions, even a 50-thousand-parameter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 xml:space="preserve">Three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 xml:space="preserve">Corbett, A. T., &amp; Anderson, J. R. (1994). Knowledge tracing: Modeling the acquisition of procedural knowledge. User Modeling and User-Adapted Interaction, 4(4), 253–278.</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 xml:space="preserve">Feng, M., Heffernan, N. T., &amp; Koedinger, K. R. (2009). Addressing the assessment challenge in an intelligent tutoring system that tutors as it assesses. User Modeling and User-Adapted Interaction, 19(3), 243–266.</w:t>
      </w:r>
    </w:p>
    <w:p>
      <w:pPr>
        <w:spacing w:after="120" w:line="360"/>
        <w:jc w:val="both"/>
      </w:pPr>
      <w:r>
        <w:rPr>
          <w:sz w:val="22"/>
          <w:szCs w:val="22"/>
        </w:rPr>
        <w:t xml:space="preserve">Ghosh, A., Heffernan, N., &amp; Lan, A. S. (2020). Context-aware attentive knowledge tracing. Proceedings of the 26th ACM SIGKDD International Conference on Knowledge Discovery &amp; Data Mining.</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 xml:space="preserve">Mizumoto, A., &amp; Eguchi, M. (2023). Exploring the potential of using an AI language model for automated essay scoring. Research Methods in Applied Linguistics, 2(2).</w:t>
      </w:r>
    </w:p>
    <w:p>
      <w:pPr>
        <w:spacing w:after="120" w:line="360"/>
        <w:jc w:val="both"/>
      </w:pPr>
      <w:r>
        <w:rPr>
          <w:sz w:val="22"/>
          <w:szCs w:val="22"/>
        </w:rPr>
        <w:t xml:space="preserve">Nakagawa, H., Iwasawa, Y., &amp; Matsuo, Y. (2019). Graph-based knowledge tracing: Modeling student proficiency using graph neural network. IEEE/WIC/ACM International Conference on Web Intelligence.</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w:t>
      </w:r>
    </w:p>
    <w:p>
      <w:pPr>
        <w:spacing w:after="120" w:line="360"/>
        <w:jc w:val="both"/>
      </w:pPr>
      <w:r>
        <w:rPr>
          <w:sz w:val="22"/>
          <w:szCs w:val="22"/>
        </w:rPr>
        <w:t xml:space="preserve">Yeung, C. K., &amp; Yeung, D. Y. (2018). Addressing two problems in deep knowledge tracing via prediction-consistent regularization. Proceedings of the Fifth Annual ACM Conference on Learning at Scale.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