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Highlights</w:t>
      </w:r>
    </w:p>
    <w:p>
      <w:r>
        <w:t>How Evaluation Practice Misstates the Uncertainty of Bearing Remaining Useful Life Predictions for Maintenance Decisions</w:t>
      </w:r>
    </w:p>
    <w:p>
      <w:pPr>
        <w:pStyle w:val="ListBullet"/>
      </w:pPr>
      <w:r>
        <w:t>Cost-optimal maintenance alarms use a tail quantile of the error on unseen bearings.</w:t>
      </w:r>
    </w:p>
    <w:p>
      <w:pPr>
        <w:pStyle w:val="ListBullet"/>
      </w:pPr>
      <w:r>
        <w:t>Calibrating on training-bearing windows understated that tail by 1.8 to 9 times.</w:t>
      </w:r>
    </w:p>
    <w:p>
      <w:pPr>
        <w:pStyle w:val="ListBullet"/>
      </w:pPr>
      <w:r>
        <w:t>The understatement grew at later checkpoints, as the error on new bearings widened.</w:t>
      </w:r>
    </w:p>
    <w:p>
      <w:pPr>
        <w:pStyle w:val="ListBullet"/>
      </w:pPr>
      <w:r>
        <w:t>On PRONOSTIA, the calibration source moved coverage by 27 to 62 points per model.</w:t>
      </w:r>
    </w:p>
    <w:p>
      <w:pPr>
        <w:pStyle w:val="ListBullet"/>
      </w:pPr>
      <w:r>
        <w:t>Tests over seeds found four times as many significant differences as bearing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