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rFonts w:ascii="Cambria" w:hAnsi="Cambria"/>
          <w:b/>
          <w:color w:val="000000"/>
          <w:sz w:val="40"/>
        </w:rPr>
        <w:t>Release 14.1 — Customer Onboarding &amp; Compliance Update</w:t>
      </w:r>
    </w:p>
    <w:tbl>
      <w:tblPr>
        <w:tblStyle w:val="TableGrid"/>
        <w:tblW w:type="auto" w:w="0"/>
        <w:tblLook w:firstColumn="1" w:firstRow="1" w:lastColumn="0" w:lastRow="0" w:noHBand="0" w:noVBand="1" w:val="04A0"/>
      </w:tblPr>
      <w:tblGrid>
        <w:gridCol w:w="4320"/>
        <w:gridCol w:w="4320"/>
      </w:tblGrid>
      <w:tr>
        <w:tc>
          <w:tcPr>
            <w:tcW w:type="dxa" w:w="4320"/>
          </w:tcPr>
          <w:p>
            <w:r>
              <w:rPr>
                <w:rFonts w:ascii="Cambria" w:hAnsi="Cambria"/>
                <w:b/>
                <w:color w:val="000000"/>
                <w:sz w:val="22"/>
              </w:rPr>
              <w:t>Release Version</w:t>
            </w:r>
          </w:p>
        </w:tc>
        <w:tc>
          <w:tcPr>
            <w:tcW w:type="dxa" w:w="4320"/>
          </w:tcPr>
          <w:p>
            <w:r>
              <w:rPr>
                <w:rFonts w:ascii="Cambria" w:hAnsi="Cambria"/>
                <w:b w:val="0"/>
                <w:color w:val="000000"/>
                <w:sz w:val="22"/>
              </w:rPr>
              <w:t>14.1</w:t>
            </w:r>
          </w:p>
        </w:tc>
      </w:tr>
      <w:tr>
        <w:tc>
          <w:tcPr>
            <w:tcW w:type="dxa" w:w="4320"/>
          </w:tcPr>
          <w:p>
            <w:r>
              <w:rPr>
                <w:rFonts w:ascii="Cambria" w:hAnsi="Cambria"/>
                <w:b/>
                <w:color w:val="000000"/>
                <w:sz w:val="22"/>
              </w:rPr>
              <w:t>Release Date</w:t>
            </w:r>
          </w:p>
        </w:tc>
        <w:tc>
          <w:tcPr>
            <w:tcW w:type="dxa" w:w="4320"/>
          </w:tcPr>
          <w:p>
            <w:r>
              <w:rPr>
                <w:rFonts w:ascii="Cambria" w:hAnsi="Cambria"/>
                <w:b w:val="0"/>
                <w:color w:val="000000"/>
                <w:sz w:val="22"/>
              </w:rPr>
              <w:t>2026-07-05</w:t>
            </w:r>
          </w:p>
        </w:tc>
      </w:tr>
      <w:tr>
        <w:tc>
          <w:tcPr>
            <w:tcW w:type="dxa" w:w="4320"/>
          </w:tcPr>
          <w:p>
            <w:r>
              <w:rPr>
                <w:rFonts w:ascii="Cambria" w:hAnsi="Cambria"/>
                <w:b/>
                <w:color w:val="000000"/>
                <w:sz w:val="22"/>
              </w:rPr>
              <w:t>Audience</w:t>
            </w:r>
          </w:p>
        </w:tc>
        <w:tc>
          <w:tcPr>
            <w:tcW w:type="dxa" w:w="4320"/>
          </w:tcPr>
          <w:p>
            <w:r>
              <w:rPr>
                <w:rFonts w:ascii="Cambria" w:hAnsi="Cambria"/>
                <w:b w:val="0"/>
                <w:color w:val="000000"/>
                <w:sz w:val="22"/>
              </w:rPr>
              <w:t>Customer</w:t>
            </w:r>
          </w:p>
        </w:tc>
      </w:tr>
    </w:tbl>
    <w:p/>
    <w:p>
      <w:pPr>
        <w:spacing w:after="120"/>
        <w:jc w:val="left"/>
      </w:pPr>
      <w:r>
        <w:rPr>
          <w:rFonts w:ascii="Cambria" w:hAnsi="Cambria"/>
          <w:b/>
          <w:color w:val="000000"/>
          <w:sz w:val="32"/>
        </w:rPr>
        <w:t>Overview</w:t>
      </w:r>
    </w:p>
    <w:p>
      <w:pPr>
        <w:spacing w:after="200"/>
        <w:jc w:val="left"/>
      </w:pPr>
      <w:r>
        <w:rPr>
          <w:rFonts w:ascii="Cambria" w:hAnsi="Cambria"/>
          <w:b w:val="0"/>
          <w:color w:val="000000"/>
          <w:sz w:val="22"/>
        </w:rPr>
        <w:t>Release 14.1 streamlines customer onboarding, strengthens the reliability of transaction processing, and keeps regulatory reporting aligned with the latest compliance requirements. Together, these changes help teams onboard customers faster, process payments with greater confidence, and stay compliant with evolving reporting standards.</w:t>
      </w:r>
    </w:p>
    <w:p>
      <w:pPr>
        <w:spacing w:after="120"/>
        <w:jc w:val="left"/>
      </w:pPr>
      <w:r>
        <w:rPr>
          <w:rFonts w:ascii="Cambria" w:hAnsi="Cambria"/>
          <w:b/>
          <w:color w:val="000000"/>
          <w:sz w:val="32"/>
        </w:rPr>
        <w:t>New Features</w:t>
      </w:r>
    </w:p>
    <w:p>
      <w:pPr>
        <w:spacing w:after="40"/>
        <w:jc w:val="left"/>
      </w:pPr>
      <w:r>
        <w:rPr>
          <w:rFonts w:ascii="Cambria" w:hAnsi="Cambria"/>
          <w:b/>
          <w:color w:val="000000"/>
          <w:sz w:val="24"/>
        </w:rPr>
        <w:t>Bulk Customer Import</w:t>
      </w:r>
    </w:p>
    <w:p>
      <w:pPr>
        <w:spacing w:after="40"/>
      </w:pPr>
      <w:r>
        <w:rPr>
          <w:rFonts w:ascii="Cambria" w:hAnsi="Cambria"/>
          <w:b/>
          <w:color w:val="000000"/>
          <w:sz w:val="22"/>
        </w:rPr>
        <w:t xml:space="preserve">Product: </w:t>
      </w:r>
      <w:r>
        <w:rPr>
          <w:rFonts w:ascii="Cambria" w:hAnsi="Cambria"/>
          <w:b w:val="0"/>
          <w:color w:val="000000"/>
          <w:sz w:val="22"/>
        </w:rPr>
        <w:t>Business Loan</w:t>
      </w:r>
    </w:p>
    <w:p>
      <w:pPr>
        <w:spacing w:after="40"/>
      </w:pPr>
      <w:r>
        <w:rPr>
          <w:rFonts w:ascii="Cambria" w:hAnsi="Cambria"/>
          <w:b/>
          <w:color w:val="000000"/>
          <w:sz w:val="22"/>
        </w:rPr>
        <w:t xml:space="preserve">Module: </w:t>
      </w:r>
      <w:r>
        <w:rPr>
          <w:rFonts w:ascii="Cambria" w:hAnsi="Cambria"/>
          <w:b w:val="0"/>
          <w:color w:val="000000"/>
          <w:sz w:val="22"/>
        </w:rPr>
        <w:t>Customer Details</w:t>
      </w:r>
    </w:p>
    <w:p>
      <w:pPr>
        <w:spacing w:after="80"/>
        <w:ind w:left="360"/>
        <w:jc w:val="left"/>
      </w:pPr>
      <w:r>
        <w:rPr>
          <w:rFonts w:ascii="Cambria" w:hAnsi="Cambria"/>
          <w:b w:val="0"/>
          <w:color w:val="000000"/>
          <w:sz w:val="22"/>
        </w:rPr>
        <w:t xml:space="preserve">■  </w:t>
      </w:r>
      <w:r>
        <w:rPr>
          <w:rFonts w:ascii="Cambria" w:hAnsi="Cambria"/>
          <w:b w:val="0"/>
          <w:color w:val="000000"/>
          <w:sz w:val="22"/>
        </w:rPr>
        <w:t>Onboard multiple customers at once by uploading a single file, instead of entering records one at a time. Records are validated as they are processed, potential duplicates are flagged, and upload progress is tracked throughout.</w:t>
      </w:r>
    </w:p>
    <w:p>
      <w:pPr>
        <w:spacing w:after="80"/>
        <w:ind w:left="360"/>
        <w:jc w:val="left"/>
      </w:pPr>
      <w:r>
        <w:rPr>
          <w:rFonts w:ascii="Cambria" w:hAnsi="Cambria"/>
          <w:b w:val="0"/>
          <w:color w:val="000000"/>
          <w:sz w:val="22"/>
        </w:rPr>
        <w:t xml:space="preserve">■  </w:t>
      </w:r>
      <w:r>
        <w:rPr>
          <w:rFonts w:ascii="Cambria" w:hAnsi="Cambria"/>
          <w:b/>
          <w:color w:val="000000"/>
          <w:sz w:val="22"/>
        </w:rPr>
        <w:t xml:space="preserve">Customer Benefit: </w:t>
      </w:r>
      <w:r>
        <w:rPr>
          <w:rFonts w:ascii="Cambria" w:hAnsi="Cambria"/>
          <w:b w:val="0"/>
          <w:color w:val="000000"/>
          <w:sz w:val="22"/>
        </w:rPr>
        <w:t>Significantly reduces manual data entry and shortens onboarding time while helping ensure clean, accurate customer records.</w:t>
      </w:r>
    </w:p>
    <w:p/>
    <w:p>
      <w:pPr>
        <w:spacing w:after="120"/>
        <w:jc w:val="left"/>
      </w:pPr>
      <w:r>
        <w:rPr>
          <w:rFonts w:ascii="Cambria" w:hAnsi="Cambria"/>
          <w:b/>
          <w:color w:val="000000"/>
          <w:sz w:val="32"/>
        </w:rPr>
        <w:t>Bug Fixes</w:t>
      </w:r>
    </w:p>
    <w:p>
      <w:pPr>
        <w:spacing w:after="40"/>
        <w:jc w:val="left"/>
      </w:pPr>
      <w:r>
        <w:rPr>
          <w:rFonts w:ascii="Cambria" w:hAnsi="Cambria"/>
          <w:b/>
          <w:color w:val="000000"/>
          <w:sz w:val="24"/>
        </w:rPr>
        <w:t>Duplicate Transaction Prevention</w:t>
      </w:r>
    </w:p>
    <w:p>
      <w:pPr>
        <w:spacing w:after="40"/>
      </w:pPr>
      <w:r>
        <w:rPr>
          <w:rFonts w:ascii="Cambria" w:hAnsi="Cambria"/>
          <w:b/>
          <w:color w:val="000000"/>
          <w:sz w:val="22"/>
        </w:rPr>
        <w:t xml:space="preserve">Product: </w:t>
      </w:r>
      <w:r>
        <w:rPr>
          <w:rFonts w:ascii="Cambria" w:hAnsi="Cambria"/>
          <w:b w:val="0"/>
          <w:color w:val="000000"/>
          <w:sz w:val="22"/>
        </w:rPr>
        <w:t>Business Loan</w:t>
      </w:r>
    </w:p>
    <w:p>
      <w:pPr>
        <w:spacing w:after="40"/>
      </w:pPr>
      <w:r>
        <w:rPr>
          <w:rFonts w:ascii="Cambria" w:hAnsi="Cambria"/>
          <w:b/>
          <w:color w:val="000000"/>
          <w:sz w:val="22"/>
        </w:rPr>
        <w:t xml:space="preserve">Module: </w:t>
      </w:r>
      <w:r>
        <w:rPr>
          <w:rFonts w:ascii="Cambria" w:hAnsi="Cambria"/>
          <w:b w:val="0"/>
          <w:color w:val="000000"/>
          <w:sz w:val="22"/>
        </w:rPr>
        <w:t>Loan Processing</w:t>
      </w:r>
    </w:p>
    <w:p>
      <w:pPr>
        <w:spacing w:after="80"/>
        <w:ind w:left="360"/>
        <w:jc w:val="left"/>
      </w:pPr>
      <w:r>
        <w:rPr>
          <w:rFonts w:ascii="Cambria" w:hAnsi="Cambria"/>
          <w:b w:val="0"/>
          <w:color w:val="000000"/>
          <w:sz w:val="22"/>
        </w:rPr>
        <w:t xml:space="preserve">■  </w:t>
      </w:r>
      <w:r>
        <w:rPr>
          <w:rFonts w:ascii="Cambria" w:hAnsi="Cambria"/>
          <w:b w:val="0"/>
          <w:color w:val="000000"/>
          <w:sz w:val="22"/>
        </w:rPr>
        <w:t>Resolved an issue that could allow the same transaction to be processed more than once. Each transaction is now verified before submission, and a clear message is shown when a potential duplicate is detected.</w:t>
      </w:r>
    </w:p>
    <w:p>
      <w:pPr>
        <w:spacing w:after="80"/>
        <w:ind w:left="360"/>
        <w:jc w:val="left"/>
      </w:pPr>
      <w:r>
        <w:rPr>
          <w:rFonts w:ascii="Cambria" w:hAnsi="Cambria"/>
          <w:b w:val="0"/>
          <w:color w:val="000000"/>
          <w:sz w:val="22"/>
        </w:rPr>
        <w:t xml:space="preserve">■  </w:t>
      </w:r>
      <w:r>
        <w:rPr>
          <w:rFonts w:ascii="Cambria" w:hAnsi="Cambria"/>
          <w:b/>
          <w:color w:val="000000"/>
          <w:sz w:val="22"/>
        </w:rPr>
        <w:t xml:space="preserve">Customer Benefit: </w:t>
      </w:r>
      <w:r>
        <w:rPr>
          <w:rFonts w:ascii="Cambria" w:hAnsi="Cambria"/>
          <w:b w:val="0"/>
          <w:color w:val="000000"/>
          <w:sz w:val="22"/>
        </w:rPr>
        <w:t>Prevents unintended duplicate payments and improves the accuracy and reliability of transaction processing.</w:t>
      </w:r>
    </w:p>
    <w:p/>
    <w:p>
      <w:pPr>
        <w:spacing w:after="120"/>
        <w:jc w:val="left"/>
      </w:pPr>
      <w:r>
        <w:rPr>
          <w:rFonts w:ascii="Cambria" w:hAnsi="Cambria"/>
          <w:b/>
          <w:color w:val="000000"/>
          <w:sz w:val="32"/>
        </w:rPr>
        <w:t>Regulatory Updates</w:t>
      </w:r>
    </w:p>
    <w:p>
      <w:pPr>
        <w:spacing w:after="40"/>
        <w:jc w:val="left"/>
      </w:pPr>
      <w:r>
        <w:rPr>
          <w:rFonts w:ascii="Cambria" w:hAnsi="Cambria"/>
          <w:b/>
          <w:color w:val="000000"/>
          <w:sz w:val="24"/>
        </w:rPr>
        <w:t>Updated Regulatory Report Templates</w:t>
      </w:r>
    </w:p>
    <w:p>
      <w:pPr>
        <w:spacing w:after="40"/>
      </w:pPr>
      <w:r>
        <w:rPr>
          <w:rFonts w:ascii="Cambria" w:hAnsi="Cambria"/>
          <w:b/>
          <w:color w:val="000000"/>
          <w:sz w:val="22"/>
        </w:rPr>
        <w:t xml:space="preserve">Module: </w:t>
      </w:r>
      <w:r>
        <w:rPr>
          <w:rFonts w:ascii="Cambria" w:hAnsi="Cambria"/>
          <w:b w:val="0"/>
          <w:color w:val="000000"/>
          <w:sz w:val="22"/>
        </w:rPr>
        <w:t>Reports</w:t>
      </w:r>
    </w:p>
    <w:p>
      <w:pPr>
        <w:spacing w:after="80"/>
        <w:ind w:left="360"/>
        <w:jc w:val="left"/>
      </w:pPr>
      <w:r>
        <w:rPr>
          <w:rFonts w:ascii="Cambria" w:hAnsi="Cambria"/>
          <w:b w:val="0"/>
          <w:color w:val="000000"/>
          <w:sz w:val="22"/>
        </w:rPr>
        <w:t xml:space="preserve">■  </w:t>
      </w:r>
      <w:r>
        <w:rPr>
          <w:rFonts w:ascii="Cambria" w:hAnsi="Cambria"/>
          <w:b w:val="0"/>
          <w:color w:val="000000"/>
          <w:sz w:val="22"/>
        </w:rPr>
        <w:t>Regulatory report templates have been updated to comply with the latest reporting standards, including new compliance information and a refreshed report layout. Report generation has also been made faster.</w:t>
      </w:r>
    </w:p>
    <w:p>
      <w:pPr>
        <w:spacing w:after="80"/>
        <w:ind w:left="360"/>
        <w:jc w:val="left"/>
      </w:pPr>
      <w:r>
        <w:rPr>
          <w:rFonts w:ascii="Cambria" w:hAnsi="Cambria"/>
          <w:b w:val="0"/>
          <w:color w:val="000000"/>
          <w:sz w:val="22"/>
        </w:rPr>
        <w:t xml:space="preserve">■  </w:t>
      </w:r>
      <w:r>
        <w:rPr>
          <w:rFonts w:ascii="Cambria" w:hAnsi="Cambria"/>
          <w:b/>
          <w:color w:val="000000"/>
          <w:sz w:val="22"/>
        </w:rPr>
        <w:t xml:space="preserve">Business Impact: </w:t>
      </w:r>
      <w:r>
        <w:rPr>
          <w:rFonts w:ascii="Cambria" w:hAnsi="Cambria"/>
          <w:b w:val="0"/>
          <w:color w:val="000000"/>
          <w:sz w:val="22"/>
        </w:rPr>
        <w:t>Helps the organization meet current regulatory requirements and produce compliant reports more efficiently.</w:t>
      </w:r>
    </w:p>
    <w:p/>
    <w:p>
      <w:pPr>
        <w:spacing w:after="120"/>
        <w:jc w:val="left"/>
      </w:pPr>
      <w:r>
        <w:rPr>
          <w:rFonts w:ascii="Cambria" w:hAnsi="Cambria"/>
          <w:b/>
          <w:color w:val="000000"/>
          <w:sz w:val="32"/>
        </w:rPr>
        <w:t>Known Issues</w:t>
      </w:r>
    </w:p>
    <w:p>
      <w:pPr>
        <w:spacing w:after="200"/>
        <w:jc w:val="left"/>
      </w:pPr>
      <w:r>
        <w:rPr>
          <w:rFonts w:ascii="Cambria" w:hAnsi="Cambria"/>
          <w:b w:val="0"/>
          <w:color w:val="000000"/>
          <w:sz w:val="22"/>
        </w:rPr>
        <w:t>None reported for this release.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