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Cambria" w:hAnsi="Cambria"/>
          <w:b/>
          <w:color w:val="000000"/>
          <w:sz w:val="40"/>
        </w:rPr>
        <w:t>Release Notes 14.1 — Internal</w:t>
      </w:r>
    </w:p>
    <w:tbl>
      <w:tblPr>
        <w:tblStyle w:val="TableGrid"/>
        <w:tblW w:type="auto" w:w="0"/>
        <w:tblLook w:firstColumn="1" w:firstRow="1" w:lastColumn="0" w:lastRow="0" w:noHBand="0" w:noVBand="1" w:val="04A0"/>
      </w:tblPr>
      <w:tblGrid>
        <w:gridCol w:w="4320"/>
        <w:gridCol w:w="4320"/>
      </w:tblGrid>
      <w:tr>
        <w:tc>
          <w:tcPr>
            <w:tcW w:type="dxa" w:w="4320"/>
          </w:tcPr>
          <w:p>
            <w:r>
              <w:rPr>
                <w:rFonts w:ascii="Cambria" w:hAnsi="Cambria"/>
                <w:b/>
                <w:color w:val="000000"/>
                <w:sz w:val="22"/>
              </w:rPr>
              <w:t>Release Version</w:t>
            </w:r>
          </w:p>
        </w:tc>
        <w:tc>
          <w:tcPr>
            <w:tcW w:type="dxa" w:w="4320"/>
          </w:tcPr>
          <w:p>
            <w:r>
              <w:rPr>
                <w:rFonts w:ascii="Cambria" w:hAnsi="Cambria"/>
                <w:b w:val="0"/>
                <w:color w:val="000000"/>
                <w:sz w:val="22"/>
              </w:rPr>
              <w:t>14.1</w:t>
            </w:r>
          </w:p>
        </w:tc>
      </w:tr>
      <w:tr>
        <w:tc>
          <w:tcPr>
            <w:tcW w:type="dxa" w:w="4320"/>
          </w:tcPr>
          <w:p>
            <w:r>
              <w:rPr>
                <w:rFonts w:ascii="Cambria" w:hAnsi="Cambria"/>
                <w:b/>
                <w:color w:val="000000"/>
                <w:sz w:val="22"/>
              </w:rPr>
              <w:t>Release Date</w:t>
            </w:r>
          </w:p>
        </w:tc>
        <w:tc>
          <w:tcPr>
            <w:tcW w:type="dxa" w:w="4320"/>
          </w:tcPr>
          <w:p>
            <w:r>
              <w:rPr>
                <w:rFonts w:ascii="Cambria" w:hAnsi="Cambria"/>
                <w:b w:val="0"/>
                <w:color w:val="000000"/>
                <w:sz w:val="22"/>
              </w:rPr>
              <w:t>2026-07-05</w:t>
            </w:r>
          </w:p>
        </w:tc>
      </w:tr>
      <w:tr>
        <w:tc>
          <w:tcPr>
            <w:tcW w:type="dxa" w:w="4320"/>
          </w:tcPr>
          <w:p>
            <w:r>
              <w:rPr>
                <w:rFonts w:ascii="Cambria" w:hAnsi="Cambria"/>
                <w:b/>
                <w:color w:val="000000"/>
                <w:sz w:val="22"/>
              </w:rPr>
              <w:t>Audience</w:t>
            </w:r>
          </w:p>
        </w:tc>
        <w:tc>
          <w:tcPr>
            <w:tcW w:type="dxa" w:w="4320"/>
          </w:tcPr>
          <w:p>
            <w:r>
              <w:rPr>
                <w:rFonts w:ascii="Cambria" w:hAnsi="Cambria"/>
                <w:b w:val="0"/>
                <w:color w:val="000000"/>
                <w:sz w:val="22"/>
              </w:rPr>
              <w:t>Internal (Engineering, QA, Release Management, Support)</w:t>
            </w:r>
          </w:p>
        </w:tc>
      </w:tr>
      <w:tr>
        <w:tc>
          <w:tcPr>
            <w:tcW w:type="dxa" w:w="4320"/>
          </w:tcPr>
          <w:p>
            <w:r>
              <w:rPr>
                <w:rFonts w:ascii="Cambria" w:hAnsi="Cambria"/>
                <w:b/>
                <w:color w:val="000000"/>
                <w:sz w:val="22"/>
              </w:rPr>
              <w:t>Project</w:t>
            </w:r>
          </w:p>
        </w:tc>
        <w:tc>
          <w:tcPr>
            <w:tcW w:type="dxa" w:w="4320"/>
          </w:tcPr>
          <w:p>
            <w:r>
              <w:rPr>
                <w:rFonts w:ascii="Cambria" w:hAnsi="Cambria"/>
                <w:b w:val="0"/>
                <w:color w:val="000000"/>
                <w:sz w:val="22"/>
              </w:rPr>
              <w:t>KAN — Release Notes Automation</w:t>
            </w:r>
          </w:p>
        </w:tc>
      </w:tr>
      <w:tr>
        <w:tc>
          <w:tcPr>
            <w:tcW w:type="dxa" w:w="4320"/>
          </w:tcPr>
          <w:p>
            <w:r>
              <w:rPr>
                <w:rFonts w:ascii="Cambria" w:hAnsi="Cambria"/>
                <w:b/>
                <w:color w:val="000000"/>
                <w:sz w:val="22"/>
              </w:rPr>
              <w:t>Issues in Release</w:t>
            </w:r>
          </w:p>
        </w:tc>
        <w:tc>
          <w:tcPr>
            <w:tcW w:type="dxa" w:w="4320"/>
          </w:tcPr>
          <w:p>
            <w:r>
              <w:rPr>
                <w:rFonts w:ascii="Cambria" w:hAnsi="Cambria"/>
                <w:b w:val="0"/>
                <w:color w:val="000000"/>
                <w:sz w:val="22"/>
              </w:rPr>
              <w:t>KAN-1, KAN-2, KAN-7</w:t>
            </w:r>
          </w:p>
        </w:tc>
      </w:tr>
    </w:tbl>
    <w:p/>
    <w:p>
      <w:pPr>
        <w:spacing w:after="120"/>
        <w:jc w:val="left"/>
      </w:pPr>
      <w:r>
        <w:rPr>
          <w:rFonts w:ascii="Cambria" w:hAnsi="Cambria"/>
          <w:b/>
          <w:color w:val="000000"/>
          <w:sz w:val="32"/>
        </w:rPr>
        <w:t>Overview</w:t>
      </w:r>
    </w:p>
    <w:p>
      <w:pPr>
        <w:spacing w:after="200"/>
        <w:jc w:val="left"/>
      </w:pPr>
      <w:r>
        <w:rPr>
          <w:rFonts w:ascii="Cambria" w:hAnsi="Cambria"/>
          <w:b w:val="0"/>
          <w:color w:val="000000"/>
          <w:sz w:val="22"/>
        </w:rPr>
        <w:t>Release 14.1 delivers one new feature (bulk customer import), one defect fix (duplicate transaction prevention), and one regulatory enhancement (updated report templates). All three issues are in Done status. This edition is for internal distribution and includes implementation, API, database, testing, and deployment details, plus open data-quality actions.</w:t>
      </w:r>
    </w:p>
    <w:p>
      <w:pPr>
        <w:spacing w:after="120"/>
        <w:jc w:val="left"/>
      </w:pPr>
      <w:r>
        <w:rPr>
          <w:rFonts w:ascii="Cambria" w:hAnsi="Cambria"/>
          <w:b/>
          <w:color w:val="000000"/>
          <w:sz w:val="32"/>
        </w:rPr>
        <w:t>New Features</w:t>
      </w:r>
    </w:p>
    <w:p>
      <w:pPr>
        <w:spacing w:after="40"/>
        <w:jc w:val="left"/>
      </w:pPr>
      <w:r>
        <w:rPr>
          <w:rFonts w:ascii="Cambria" w:hAnsi="Cambria"/>
          <w:b/>
          <w:color w:val="000000"/>
          <w:sz w:val="24"/>
        </w:rPr>
        <w:t>KAN-1 — Bulk Customer Import</w:t>
      </w:r>
    </w:p>
    <w:p>
      <w:pPr>
        <w:spacing w:after="40"/>
      </w:pPr>
      <w:r>
        <w:rPr>
          <w:rFonts w:ascii="Cambria" w:hAnsi="Cambria"/>
          <w:b/>
          <w:color w:val="000000"/>
          <w:sz w:val="22"/>
        </w:rPr>
        <w:t xml:space="preserve">Product / Module: </w:t>
      </w:r>
      <w:r>
        <w:rPr>
          <w:rFonts w:ascii="Cambria" w:hAnsi="Cambria"/>
          <w:b w:val="0"/>
          <w:color w:val="000000"/>
          <w:sz w:val="22"/>
        </w:rPr>
        <w:t>Business Loan / Customer Details</w:t>
      </w:r>
    </w:p>
    <w:p>
      <w:pPr>
        <w:spacing w:after="40"/>
      </w:pPr>
      <w:r>
        <w:rPr>
          <w:rFonts w:ascii="Cambria" w:hAnsi="Cambria"/>
          <w:b/>
          <w:color w:val="000000"/>
          <w:sz w:val="22"/>
        </w:rPr>
        <w:t xml:space="preserve">Work Type: </w:t>
      </w:r>
      <w:r>
        <w:rPr>
          <w:rFonts w:ascii="Cambria" w:hAnsi="Cambria"/>
          <w:b w:val="0"/>
          <w:color w:val="000000"/>
          <w:sz w:val="22"/>
        </w:rPr>
        <w:t>Feature</w:t>
      </w:r>
    </w:p>
    <w:p>
      <w:pPr>
        <w:spacing w:after="40"/>
      </w:pPr>
      <w:r>
        <w:rPr>
          <w:rFonts w:ascii="Cambria" w:hAnsi="Cambria"/>
          <w:b/>
          <w:color w:val="000000"/>
          <w:sz w:val="22"/>
        </w:rPr>
        <w:t xml:space="preserve">Summary: </w:t>
      </w:r>
      <w:r>
        <w:rPr>
          <w:rFonts w:ascii="Cambria" w:hAnsi="Cambria"/>
          <w:b w:val="0"/>
          <w:color w:val="000000"/>
          <w:sz w:val="22"/>
        </w:rPr>
        <w:t>CSV-based bulk customer import to reduce manual onboarding effort.</w:t>
      </w:r>
    </w:p>
    <w:p>
      <w:pPr>
        <w:spacing w:after="40"/>
      </w:pPr>
      <w:r>
        <w:rPr>
          <w:rFonts w:ascii="Cambria" w:hAnsi="Cambria"/>
          <w:b/>
          <w:color w:val="000000"/>
          <w:sz w:val="22"/>
        </w:rPr>
        <w:t xml:space="preserve">Technical Changes: </w:t>
      </w:r>
      <w:r>
        <w:rPr>
          <w:rFonts w:ascii="Cambria" w:hAnsi="Cambria"/>
          <w:b w:val="0"/>
          <w:color w:val="000000"/>
          <w:sz w:val="22"/>
        </w:rPr>
      </w:r>
    </w:p>
    <w:p>
      <w:pPr>
        <w:spacing w:after="80"/>
        <w:ind w:left="360"/>
        <w:jc w:val="left"/>
      </w:pPr>
      <w:r>
        <w:rPr>
          <w:rFonts w:ascii="Cambria" w:hAnsi="Cambria"/>
          <w:b w:val="0"/>
          <w:color w:val="000000"/>
          <w:sz w:val="22"/>
        </w:rPr>
        <w:t xml:space="preserve">■  </w:t>
      </w:r>
      <w:r>
        <w:rPr>
          <w:rFonts w:ascii="Cambria" w:hAnsi="Cambria"/>
          <w:b w:val="0"/>
          <w:color w:val="000000"/>
          <w:sz w:val="22"/>
        </w:rPr>
        <w:t>CSV parsing service.</w:t>
      </w:r>
    </w:p>
    <w:p>
      <w:pPr>
        <w:spacing w:after="80"/>
        <w:ind w:left="360"/>
        <w:jc w:val="left"/>
      </w:pPr>
      <w:r>
        <w:rPr>
          <w:rFonts w:ascii="Cambria" w:hAnsi="Cambria"/>
          <w:b w:val="0"/>
          <w:color w:val="000000"/>
          <w:sz w:val="22"/>
        </w:rPr>
        <w:t xml:space="preserve">■  </w:t>
      </w:r>
      <w:r>
        <w:rPr>
          <w:rFonts w:ascii="Cambria" w:hAnsi="Cambria"/>
          <w:b w:val="0"/>
          <w:color w:val="000000"/>
          <w:sz w:val="22"/>
        </w:rPr>
        <w:t>Customer validation framework.</w:t>
      </w:r>
    </w:p>
    <w:p>
      <w:pPr>
        <w:spacing w:after="80"/>
        <w:ind w:left="360"/>
        <w:jc w:val="left"/>
      </w:pPr>
      <w:r>
        <w:rPr>
          <w:rFonts w:ascii="Cambria" w:hAnsi="Cambria"/>
          <w:b w:val="0"/>
          <w:color w:val="000000"/>
          <w:sz w:val="22"/>
        </w:rPr>
        <w:t xml:space="preserve">■  </w:t>
      </w:r>
      <w:r>
        <w:rPr>
          <w:rFonts w:ascii="Cambria" w:hAnsi="Cambria"/>
          <w:b w:val="0"/>
          <w:color w:val="000000"/>
          <w:sz w:val="22"/>
        </w:rPr>
        <w:t>Duplicate customer detection.</w:t>
      </w:r>
    </w:p>
    <w:p>
      <w:pPr>
        <w:spacing w:after="80"/>
        <w:ind w:left="360"/>
        <w:jc w:val="left"/>
      </w:pPr>
      <w:r>
        <w:rPr>
          <w:rFonts w:ascii="Cambria" w:hAnsi="Cambria"/>
          <w:b w:val="0"/>
          <w:color w:val="000000"/>
          <w:sz w:val="22"/>
        </w:rPr>
        <w:t xml:space="preserve">■  </w:t>
      </w:r>
      <w:r>
        <w:rPr>
          <w:rFonts w:ascii="Cambria" w:hAnsi="Cambria"/>
          <w:b w:val="0"/>
          <w:color w:val="000000"/>
          <w:sz w:val="22"/>
        </w:rPr>
        <w:t>Customer Service API integration.</w:t>
      </w:r>
    </w:p>
    <w:p>
      <w:pPr>
        <w:spacing w:after="80"/>
        <w:ind w:left="360"/>
        <w:jc w:val="left"/>
      </w:pPr>
      <w:r>
        <w:rPr>
          <w:rFonts w:ascii="Cambria" w:hAnsi="Cambria"/>
          <w:b w:val="0"/>
          <w:color w:val="000000"/>
          <w:sz w:val="22"/>
        </w:rPr>
        <w:t xml:space="preserve">■  </w:t>
      </w:r>
      <w:r>
        <w:rPr>
          <w:rFonts w:ascii="Cambria" w:hAnsi="Cambria"/>
          <w:b w:val="0"/>
          <w:color w:val="000000"/>
          <w:sz w:val="22"/>
        </w:rPr>
        <w:t>Upload progress tracking and audit logging.</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API Changes: </w:t>
      </w:r>
      <w:r>
        <w:rPr>
          <w:rFonts w:ascii="Cambria" w:hAnsi="Cambria"/>
          <w:b w:val="0"/>
          <w:color w:val="000000"/>
          <w:sz w:val="22"/>
        </w:rPr>
        <w:t>POST /customers/import</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Database Changes: </w:t>
      </w:r>
      <w:r>
        <w:rPr>
          <w:rFonts w:ascii="Cambria" w:hAnsi="Cambria"/>
          <w:b w:val="0"/>
          <w:color w:val="000000"/>
          <w:sz w:val="22"/>
        </w:rPr>
        <w:t>Added BulkUploadId and UploadStatus columns to the CustomerUpload table.</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Validation: </w:t>
      </w:r>
      <w:r>
        <w:rPr>
          <w:rFonts w:ascii="Cambria" w:hAnsi="Cambria"/>
          <w:b w:val="0"/>
          <w:color w:val="000000"/>
          <w:sz w:val="22"/>
        </w:rPr>
        <w:t>Mandatory fields, duplicate customers, invalid CSV format.</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Testing: </w:t>
      </w:r>
      <w:r>
        <w:rPr>
          <w:rFonts w:ascii="Cambria" w:hAnsi="Cambria"/>
          <w:b w:val="0"/>
          <w:color w:val="000000"/>
          <w:sz w:val="22"/>
        </w:rPr>
        <w:t>Unit, Integration, and Regression completed/passed.</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Deployment Notes: </w:t>
      </w:r>
      <w:r>
        <w:rPr>
          <w:rFonts w:ascii="Cambria" w:hAnsi="Cambria"/>
          <w:b w:val="0"/>
          <w:color w:val="000000"/>
          <w:sz w:val="22"/>
        </w:rPr>
        <w:t>No manual configuration required.</w:t>
      </w:r>
    </w:p>
    <w:p/>
    <w:p>
      <w:pPr>
        <w:spacing w:after="120"/>
        <w:jc w:val="left"/>
      </w:pPr>
      <w:r>
        <w:rPr>
          <w:rFonts w:ascii="Cambria" w:hAnsi="Cambria"/>
          <w:b/>
          <w:color w:val="000000"/>
          <w:sz w:val="32"/>
        </w:rPr>
        <w:t>Bug Fixes</w:t>
      </w:r>
    </w:p>
    <w:p>
      <w:pPr>
        <w:spacing w:after="40"/>
        <w:jc w:val="left"/>
      </w:pPr>
      <w:r>
        <w:rPr>
          <w:rFonts w:ascii="Cambria" w:hAnsi="Cambria"/>
          <w:b/>
          <w:color w:val="000000"/>
          <w:sz w:val="24"/>
        </w:rPr>
        <w:t>KAN-2 — Duplicate Transaction Validation</w:t>
      </w:r>
    </w:p>
    <w:p>
      <w:pPr>
        <w:spacing w:after="40"/>
      </w:pPr>
      <w:r>
        <w:rPr>
          <w:rFonts w:ascii="Cambria" w:hAnsi="Cambria"/>
          <w:b/>
          <w:color w:val="000000"/>
          <w:sz w:val="22"/>
        </w:rPr>
        <w:t xml:space="preserve">Product / Module: </w:t>
      </w:r>
      <w:r>
        <w:rPr>
          <w:rFonts w:ascii="Cambria" w:hAnsi="Cambria"/>
          <w:b w:val="0"/>
          <w:color w:val="000000"/>
          <w:sz w:val="22"/>
        </w:rPr>
        <w:t>Business Loan / Loan Processing</w:t>
      </w:r>
    </w:p>
    <w:p>
      <w:pPr>
        <w:spacing w:after="40"/>
      </w:pPr>
      <w:r>
        <w:rPr>
          <w:rFonts w:ascii="Cambria" w:hAnsi="Cambria"/>
          <w:b/>
          <w:color w:val="000000"/>
          <w:sz w:val="22"/>
        </w:rPr>
        <w:t xml:space="preserve">Work Type: </w:t>
      </w:r>
      <w:r>
        <w:rPr>
          <w:rFonts w:ascii="Cambria" w:hAnsi="Cambria"/>
          <w:b w:val="0"/>
          <w:color w:val="000000"/>
          <w:sz w:val="22"/>
        </w:rPr>
        <w:t>Bug</w:t>
      </w:r>
    </w:p>
    <w:p>
      <w:pPr>
        <w:spacing w:after="40"/>
      </w:pPr>
      <w:r>
        <w:rPr>
          <w:rFonts w:ascii="Cambria" w:hAnsi="Cambria"/>
          <w:b/>
          <w:color w:val="000000"/>
          <w:sz w:val="22"/>
        </w:rPr>
        <w:t xml:space="preserve">Summary: </w:t>
      </w:r>
      <w:r>
        <w:rPr>
          <w:rFonts w:ascii="Cambria" w:hAnsi="Cambria"/>
          <w:b w:val="0"/>
          <w:color w:val="000000"/>
          <w:sz w:val="22"/>
        </w:rPr>
        <w:t>Prevents the same loan transaction from being processed more than once by validating transaction references before submission.</w:t>
      </w:r>
    </w:p>
    <w:p>
      <w:pPr>
        <w:spacing w:after="40"/>
      </w:pPr>
      <w:r>
        <w:rPr>
          <w:rFonts w:ascii="Cambria" w:hAnsi="Cambria"/>
          <w:b/>
          <w:color w:val="000000"/>
          <w:sz w:val="22"/>
        </w:rPr>
        <w:t xml:space="preserve">Technical Changes: </w:t>
      </w:r>
      <w:r>
        <w:rPr>
          <w:rFonts w:ascii="Cambria" w:hAnsi="Cambria"/>
          <w:b w:val="0"/>
          <w:color w:val="000000"/>
          <w:sz w:val="22"/>
        </w:rPr>
      </w:r>
    </w:p>
    <w:p>
      <w:pPr>
        <w:spacing w:after="80"/>
        <w:ind w:left="360"/>
        <w:jc w:val="left"/>
      </w:pPr>
      <w:r>
        <w:rPr>
          <w:rFonts w:ascii="Cambria" w:hAnsi="Cambria"/>
          <w:b w:val="0"/>
          <w:color w:val="000000"/>
          <w:sz w:val="22"/>
        </w:rPr>
        <w:t xml:space="preserve">■  </w:t>
      </w:r>
      <w:r>
        <w:rPr>
          <w:rFonts w:ascii="Cambria" w:hAnsi="Cambria"/>
          <w:b w:val="0"/>
          <w:color w:val="000000"/>
          <w:sz w:val="22"/>
        </w:rPr>
        <w:t>Duplicate transaction validation.</w:t>
      </w:r>
    </w:p>
    <w:p>
      <w:pPr>
        <w:spacing w:after="80"/>
        <w:ind w:left="360"/>
        <w:jc w:val="left"/>
      </w:pPr>
      <w:r>
        <w:rPr>
          <w:rFonts w:ascii="Cambria" w:hAnsi="Cambria"/>
          <w:b w:val="0"/>
          <w:color w:val="000000"/>
          <w:sz w:val="22"/>
        </w:rPr>
        <w:t xml:space="preserve">■  </w:t>
      </w:r>
      <w:r>
        <w:rPr>
          <w:rFonts w:ascii="Cambria" w:hAnsi="Cambria"/>
          <w:b w:val="0"/>
          <w:color w:val="000000"/>
          <w:sz w:val="22"/>
        </w:rPr>
        <w:t>Transaction ID comparison before processing.</w:t>
      </w:r>
    </w:p>
    <w:p>
      <w:pPr>
        <w:spacing w:after="80"/>
        <w:ind w:left="360"/>
        <w:jc w:val="left"/>
      </w:pPr>
      <w:r>
        <w:rPr>
          <w:rFonts w:ascii="Cambria" w:hAnsi="Cambria"/>
          <w:b w:val="0"/>
          <w:color w:val="000000"/>
          <w:sz w:val="22"/>
        </w:rPr>
        <w:t xml:space="preserve">■  </w:t>
      </w:r>
      <w:r>
        <w:rPr>
          <w:rFonts w:ascii="Cambria" w:hAnsi="Cambria"/>
          <w:b w:val="0"/>
          <w:color w:val="000000"/>
          <w:sz w:val="22"/>
        </w:rPr>
        <w:t>Duplicate transaction logging.</w:t>
      </w:r>
    </w:p>
    <w:p>
      <w:pPr>
        <w:spacing w:after="80"/>
        <w:ind w:left="360"/>
        <w:jc w:val="left"/>
      </w:pPr>
      <w:r>
        <w:rPr>
          <w:rFonts w:ascii="Cambria" w:hAnsi="Cambria"/>
          <w:b w:val="0"/>
          <w:color w:val="000000"/>
          <w:sz w:val="22"/>
        </w:rPr>
        <w:t xml:space="preserve">■  </w:t>
      </w:r>
      <w:r>
        <w:rPr>
          <w:rFonts w:ascii="Cambria" w:hAnsi="Cambria"/>
          <w:b w:val="0"/>
          <w:color w:val="000000"/>
          <w:sz w:val="22"/>
        </w:rPr>
        <w:t>User-friendly validation message on detection.</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API Changes: </w:t>
      </w:r>
      <w:r>
        <w:rPr>
          <w:rFonts w:ascii="Cambria" w:hAnsi="Cambria"/>
          <w:b w:val="0"/>
          <w:color w:val="000000"/>
          <w:sz w:val="22"/>
        </w:rPr>
        <w:t>None</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Database Changes: </w:t>
      </w:r>
      <w:r>
        <w:rPr>
          <w:rFonts w:ascii="Cambria" w:hAnsi="Cambria"/>
          <w:b w:val="0"/>
          <w:color w:val="000000"/>
          <w:sz w:val="22"/>
        </w:rPr>
        <w:t>Added TransactionHash index.</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Validation: </w:t>
      </w:r>
      <w:r>
        <w:rPr>
          <w:rFonts w:ascii="Cambria" w:hAnsi="Cambria"/>
          <w:b w:val="0"/>
          <w:color w:val="000000"/>
          <w:sz w:val="22"/>
        </w:rPr>
        <w:t>Duplicate Transaction ID, duplicate request payload, duplicate reference number.</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Testing: </w:t>
      </w:r>
      <w:r>
        <w:rPr>
          <w:rFonts w:ascii="Cambria" w:hAnsi="Cambria"/>
          <w:b w:val="0"/>
          <w:color w:val="000000"/>
          <w:sz w:val="22"/>
        </w:rPr>
        <w:t>Unit, Integration, and Regression completed.</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Deployment Notes: </w:t>
      </w:r>
      <w:r>
        <w:rPr>
          <w:rFonts w:ascii="Cambria" w:hAnsi="Cambria"/>
          <w:b w:val="0"/>
          <w:color w:val="000000"/>
          <w:sz w:val="22"/>
        </w:rPr>
        <w:t>⚠ Database index required — must be applied as part of deployment.</w:t>
      </w:r>
    </w:p>
    <w:p/>
    <w:p>
      <w:pPr>
        <w:spacing w:after="120"/>
        <w:jc w:val="left"/>
      </w:pPr>
      <w:r>
        <w:rPr>
          <w:rFonts w:ascii="Cambria" w:hAnsi="Cambria"/>
          <w:b/>
          <w:color w:val="000000"/>
          <w:sz w:val="32"/>
        </w:rPr>
        <w:t>Regulatory Updates</w:t>
      </w:r>
    </w:p>
    <w:p>
      <w:pPr>
        <w:spacing w:after="40"/>
        <w:jc w:val="left"/>
      </w:pPr>
      <w:r>
        <w:rPr>
          <w:rFonts w:ascii="Cambria" w:hAnsi="Cambria"/>
          <w:b/>
          <w:color w:val="000000"/>
          <w:sz w:val="24"/>
        </w:rPr>
        <w:t>KAN-7 — Update Regulatory Report Template</w:t>
      </w:r>
    </w:p>
    <w:p>
      <w:pPr>
        <w:spacing w:after="40"/>
      </w:pPr>
      <w:r>
        <w:rPr>
          <w:rFonts w:ascii="Cambria" w:hAnsi="Cambria"/>
          <w:b/>
          <w:color w:val="000000"/>
          <w:sz w:val="22"/>
        </w:rPr>
        <w:t xml:space="preserve">Product / Module: </w:t>
      </w:r>
      <w:r>
        <w:rPr>
          <w:rFonts w:ascii="Cambria" w:hAnsi="Cambria"/>
          <w:b w:val="0"/>
          <w:color w:val="000000"/>
          <w:sz w:val="22"/>
        </w:rPr>
        <w:t>Not set in Jira / Reports</w:t>
      </w:r>
    </w:p>
    <w:p>
      <w:pPr>
        <w:spacing w:after="40"/>
      </w:pPr>
      <w:r>
        <w:rPr>
          <w:rFonts w:ascii="Cambria" w:hAnsi="Cambria"/>
          <w:b/>
          <w:color w:val="000000"/>
          <w:sz w:val="22"/>
        </w:rPr>
        <w:t xml:space="preserve">Work Type: </w:t>
      </w:r>
      <w:r>
        <w:rPr>
          <w:rFonts w:ascii="Cambria" w:hAnsi="Cambria"/>
          <w:b w:val="0"/>
          <w:color w:val="000000"/>
          <w:sz w:val="22"/>
        </w:rPr>
        <w:t>Enhancement</w:t>
      </w:r>
    </w:p>
    <w:p>
      <w:pPr>
        <w:spacing w:after="40"/>
      </w:pPr>
      <w:r>
        <w:rPr>
          <w:rFonts w:ascii="Cambria" w:hAnsi="Cambria"/>
          <w:b/>
          <w:color w:val="000000"/>
          <w:sz w:val="22"/>
        </w:rPr>
        <w:t xml:space="preserve">Summary: </w:t>
      </w:r>
      <w:r>
        <w:rPr>
          <w:rFonts w:ascii="Cambria" w:hAnsi="Cambria"/>
          <w:b w:val="0"/>
          <w:color w:val="000000"/>
          <w:sz w:val="22"/>
        </w:rPr>
        <w:t>Regulatory report templates updated to meet revised compliance requirements.</w:t>
      </w:r>
    </w:p>
    <w:p>
      <w:pPr>
        <w:spacing w:after="40"/>
      </w:pPr>
      <w:r>
        <w:rPr>
          <w:rFonts w:ascii="Cambria" w:hAnsi="Cambria"/>
          <w:b/>
          <w:color w:val="000000"/>
          <w:sz w:val="22"/>
        </w:rPr>
        <w:t xml:space="preserve">Technical Changes: </w:t>
      </w:r>
      <w:r>
        <w:rPr>
          <w:rFonts w:ascii="Cambria" w:hAnsi="Cambria"/>
          <w:b w:val="0"/>
          <w:color w:val="000000"/>
          <w:sz w:val="22"/>
        </w:rPr>
      </w:r>
    </w:p>
    <w:p>
      <w:pPr>
        <w:spacing w:after="80"/>
        <w:ind w:left="360"/>
        <w:jc w:val="left"/>
      </w:pPr>
      <w:r>
        <w:rPr>
          <w:rFonts w:ascii="Cambria" w:hAnsi="Cambria"/>
          <w:b w:val="0"/>
          <w:color w:val="000000"/>
          <w:sz w:val="22"/>
        </w:rPr>
        <w:t xml:space="preserve">■  </w:t>
      </w:r>
      <w:r>
        <w:rPr>
          <w:rFonts w:ascii="Cambria" w:hAnsi="Cambria"/>
          <w:b w:val="0"/>
          <w:color w:val="000000"/>
          <w:sz w:val="22"/>
        </w:rPr>
        <w:t>Updated report layout.</w:t>
      </w:r>
    </w:p>
    <w:p>
      <w:pPr>
        <w:spacing w:after="80"/>
        <w:ind w:left="360"/>
        <w:jc w:val="left"/>
      </w:pPr>
      <w:r>
        <w:rPr>
          <w:rFonts w:ascii="Cambria" w:hAnsi="Cambria"/>
          <w:b w:val="0"/>
          <w:color w:val="000000"/>
          <w:sz w:val="22"/>
        </w:rPr>
        <w:t xml:space="preserve">■  </w:t>
      </w:r>
      <w:r>
        <w:rPr>
          <w:rFonts w:ascii="Cambria" w:hAnsi="Cambria"/>
          <w:b w:val="0"/>
          <w:color w:val="000000"/>
          <w:sz w:val="22"/>
        </w:rPr>
        <w:t>Added new compliance fields.</w:t>
      </w:r>
    </w:p>
    <w:p>
      <w:pPr>
        <w:spacing w:after="80"/>
        <w:ind w:left="360"/>
        <w:jc w:val="left"/>
      </w:pPr>
      <w:r>
        <w:rPr>
          <w:rFonts w:ascii="Cambria" w:hAnsi="Cambria"/>
          <w:b w:val="0"/>
          <w:color w:val="000000"/>
          <w:sz w:val="22"/>
        </w:rPr>
        <w:t xml:space="preserve">■  </w:t>
      </w:r>
      <w:r>
        <w:rPr>
          <w:rFonts w:ascii="Cambria" w:hAnsi="Cambria"/>
          <w:b w:val="0"/>
          <w:color w:val="000000"/>
          <w:sz w:val="22"/>
        </w:rPr>
        <w:t>Improved export performance.</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API Changes: </w:t>
      </w:r>
      <w:r>
        <w:rPr>
          <w:rFonts w:ascii="Cambria" w:hAnsi="Cambria"/>
          <w:b w:val="0"/>
          <w:color w:val="000000"/>
          <w:sz w:val="22"/>
        </w:rPr>
        <w:t>GET /reports/regulatory</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Database Changes: </w:t>
      </w:r>
      <w:r>
        <w:rPr>
          <w:rFonts w:ascii="Cambria" w:hAnsi="Cambria"/>
          <w:b w:val="0"/>
          <w:color w:val="000000"/>
          <w:sz w:val="22"/>
        </w:rPr>
        <w:t>Added ComplianceCategory column.</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Validation: </w:t>
      </w:r>
      <w:r>
        <w:rPr>
          <w:rFonts w:ascii="Cambria" w:hAnsi="Cambria"/>
          <w:b w:val="0"/>
          <w:color w:val="000000"/>
          <w:sz w:val="22"/>
        </w:rPr>
        <w:t>Mandatory compliance fields.</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Testing: </w:t>
      </w:r>
      <w:r>
        <w:rPr>
          <w:rFonts w:ascii="Cambria" w:hAnsi="Cambria"/>
          <w:b w:val="0"/>
          <w:color w:val="000000"/>
          <w:sz w:val="22"/>
        </w:rPr>
        <w:t>Completed.</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Deployment Notes: </w:t>
      </w:r>
      <w:r>
        <w:rPr>
          <w:rFonts w:ascii="Cambria" w:hAnsi="Cambria"/>
          <w:b w:val="0"/>
          <w:color w:val="000000"/>
          <w:sz w:val="22"/>
        </w:rPr>
        <w:t>⚠ Report template deployment required.</w:t>
      </w:r>
    </w:p>
    <w:p/>
    <w:p>
      <w:pPr>
        <w:spacing w:after="120"/>
        <w:jc w:val="left"/>
      </w:pPr>
      <w:r>
        <w:rPr>
          <w:rFonts w:ascii="Cambria" w:hAnsi="Cambria"/>
          <w:b/>
          <w:color w:val="000000"/>
          <w:sz w:val="32"/>
        </w:rPr>
        <w:t>Known Issues</w:t>
      </w:r>
    </w:p>
    <w:p>
      <w:pPr>
        <w:spacing w:after="200"/>
        <w:jc w:val="left"/>
      </w:pPr>
      <w:r>
        <w:rPr>
          <w:rFonts w:ascii="Cambria" w:hAnsi="Cambria"/>
          <w:b w:val="0"/>
          <w:color w:val="000000"/>
          <w:sz w:val="22"/>
        </w:rPr>
        <w:t>None reported for this release.</w:t>
      </w:r>
    </w:p>
    <w:p>
      <w:pPr>
        <w:spacing w:after="120"/>
        <w:jc w:val="left"/>
      </w:pPr>
      <w:r>
        <w:rPr>
          <w:rFonts w:ascii="Cambria" w:hAnsi="Cambria"/>
          <w:b/>
          <w:color w:val="000000"/>
          <w:sz w:val="32"/>
        </w:rPr>
        <w:t>Open Actions / Data-Quality Notes</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KAN-7 — Missing Product in Jira: </w:t>
      </w:r>
      <w:r>
        <w:rPr>
          <w:rFonts w:ascii="Cambria" w:hAnsi="Cambria"/>
          <w:b w:val="0"/>
          <w:color w:val="000000"/>
          <w:sz w:val="22"/>
        </w:rPr>
        <w:t>The Product field (customfield_10074) is not set. Populate before the next extraction.</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KAN-7 — Release/Product discrepancy: </w:t>
      </w:r>
      <w:r>
        <w:rPr>
          <w:rFonts w:ascii="Cambria" w:hAnsi="Cambria"/>
          <w:b w:val="0"/>
          <w:color w:val="000000"/>
          <w:sz w:val="22"/>
        </w:rPr>
        <w:t>Jira records Release 14.1 / Product unset, but the implementation note records Release 14.2 / Product Mortgage Loan. Reconcile before publishing customer-facing notes — if KAN-7 belongs to 14.2, remove it from this release.</w:t>
      </w:r>
    </w:p>
    <w:p>
      <w:pPr>
        <w:spacing w:after="80"/>
        <w:ind w:left="360"/>
        <w:jc w:val="left"/>
      </w:pPr>
      <w:r>
        <w:rPr>
          <w:rFonts w:ascii="Cambria" w:hAnsi="Cambria"/>
          <w:b w:val="0"/>
          <w:color w:val="000000"/>
          <w:sz w:val="22"/>
        </w:rPr>
        <w:t xml:space="preserve">■  </w:t>
      </w:r>
      <w:r>
        <w:rPr>
          <w:rFonts w:ascii="Cambria" w:hAnsi="Cambria"/>
          <w:b/>
          <w:color w:val="000000"/>
          <w:sz w:val="22"/>
        </w:rPr>
        <w:t xml:space="preserve">Deployment ordering: </w:t>
      </w:r>
      <w:r>
        <w:rPr>
          <w:rFonts w:ascii="Cambria" w:hAnsi="Cambria"/>
          <w:b w:val="0"/>
          <w:color w:val="000000"/>
          <w:sz w:val="22"/>
        </w:rPr>
        <w:t>KAN-2 (DB index) and KAN-7 (report template deployment) both require manual deployment steps — confirm these are in the release runbook.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