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1v52i687jzm" w:id="0"/>
      <w:bookmarkEnd w:id="0"/>
      <w:r w:rsidDel="00000000" w:rsidR="00000000" w:rsidRPr="00000000">
        <w:rPr>
          <w:b w:val="1"/>
          <w:bCs w:val="1"/>
          <w:color w:val="000000"/>
          <w:sz w:val="26"/>
          <w:szCs w:val="26"/>
          <w:rtl w:val="0"/>
        </w:rPr>
        <w:t xml:space="preserve">Project Brief</w:t>
      </w:r>
    </w:p>
    <w:p w:rsidR="00000000" w:rsidDel="00000000" w:rsidP="00000000" w:rsidRDefault="00000000" w:rsidRPr="00000000" w14:paraId="00000002">
      <w:pPr>
        <w:rPr/>
      </w:pPr>
      <w:r w:rsidDel="00000000" w:rsidR="00000000" w:rsidRPr="00000000">
        <w:rPr>
          <w:b w:val="1"/>
          <w:bCs w:val="1"/>
          <w:rtl w:val="0"/>
        </w:rPr>
        <w:t xml:space="preserve">Project Overview</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Redesign and enhancement of key visual materials for the SAFIRE programme, including:</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The Theory of Change diagram</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"The Girl's Journey" illustration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Detailed county maps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The "SAFIRE local ecosystem" diagram</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 refreshed Programme Results Framework visual</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 standalone diagram representing the three programme workstreams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A comprehensive programme brochure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Key Deliverables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Brand identity guidelines and design assets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Sub-branded presentation slide templates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Updated Theory of Change diagram</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Detailed, organised, and user-friendly "Girl's Journey" visualisation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rl2rj5rzzwg" w:id="1"/>
      <w:bookmarkEnd w:id="1"/>
      <w:r w:rsidDel="00000000" w:rsidR="00000000" w:rsidRPr="00000000">
        <w:rPr>
          <w:b w:val="1"/>
          <w:bCs w:val="1"/>
          <w:color w:val="000000"/>
          <w:sz w:val="26"/>
          <w:szCs w:val="26"/>
          <w:rtl w:val="0"/>
        </w:rPr>
        <w:t xml:space="preserve">The Process</w:t>
      </w:r>
    </w:p>
    <w:p w:rsidR="00000000" w:rsidDel="00000000" w:rsidP="00000000" w:rsidRDefault="00000000" w:rsidRPr="00000000" w14:paraId="00000011">
      <w:pPr>
        <w:spacing w:after="240" w:before="240" w:lineRule="auto"/>
        <w:rPr/>
      </w:pPr>
      <w:r w:rsidDel="00000000" w:rsidR="00000000" w:rsidRPr="00000000">
        <w:rPr>
          <w:rtl w:val="0"/>
        </w:rPr>
        <w:t xml:space="preserve">We were </w:t>
      </w:r>
      <w:r w:rsidDel="00000000" w:rsidR="00000000" w:rsidRPr="00000000">
        <w:rPr>
          <w:rtl w:val="0"/>
        </w:rPr>
        <w:t xml:space="preserve">engaged to support the SAFIRE programme and elevate the visual impact of its presentations and materials, the organisation relied heavily on overcrowded PowerPoint templates and basic Microsoft Word charts for major presentations and trainings.</w:t>
      </w:r>
    </w:p>
    <w:p w:rsidR="00000000" w:rsidDel="00000000" w:rsidP="00000000" w:rsidRDefault="00000000" w:rsidRPr="00000000" w14:paraId="00000012">
      <w:pPr>
        <w:spacing w:after="240" w:before="240" w:lineRule="auto"/>
        <w:rPr/>
      </w:pPr>
      <w:r w:rsidDel="00000000" w:rsidR="00000000" w:rsidRPr="00000000">
        <w:rPr>
          <w:rtl w:val="0"/>
        </w:rPr>
        <w:t xml:space="preserve">Joining the project, we collaborated closely with the small SAFIRE team of three, including the programme leader. We placed "the girl" at the very center of the design process, recognising a powerful opportunity to narrate the story of how surrounding services—what they are, how they interconnect, and why they matter—empower and facilitate a girl's journey as she grows and navigates society.</w:t>
      </w:r>
    </w:p>
    <w:p w:rsidR="00000000" w:rsidDel="00000000" w:rsidP="00000000" w:rsidRDefault="00000000" w:rsidRPr="00000000" w14:paraId="00000013">
      <w:pPr>
        <w:spacing w:after="240" w:before="240" w:lineRule="auto"/>
        <w:rPr/>
      </w:pPr>
      <w:r w:rsidDel="00000000" w:rsidR="00000000" w:rsidRPr="00000000">
        <w:rPr>
          <w:rtl w:val="0"/>
        </w:rPr>
        <w:t xml:space="preserve">The collaboration kicked off with developing a new visual identity: a custom set of icons, refined illustrations of the girl's journey, and an evolved Theory of Change. These elements emerged from an intensive iterative sketching and feedback process with the SAFIRE team.</w:t>
      </w:r>
    </w:p>
    <w:p w:rsidR="00000000" w:rsidDel="00000000" w:rsidP="00000000" w:rsidRDefault="00000000" w:rsidRPr="00000000" w14:paraId="00000014">
      <w:pPr>
        <w:spacing w:after="240" w:before="240" w:lineRule="auto"/>
        <w:rPr/>
      </w:pPr>
      <w:r w:rsidDel="00000000" w:rsidR="00000000" w:rsidRPr="00000000">
        <w:rPr>
          <w:rtl w:val="0"/>
        </w:rPr>
        <w:t xml:space="preserve">The outcome was a simplified, clearer path for "the girl's journey" and a more compelling, story-driven Theory of Change that better communicated the programme's impact.</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