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hp7pg5wnu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Brief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fresh, visually engaging design for the </w:t>
      </w:r>
      <w:r w:rsidDel="00000000" w:rsidR="00000000" w:rsidRPr="00000000">
        <w:rPr>
          <w:b w:val="1"/>
          <w:bCs w:val="1"/>
          <w:rtl w:val="0"/>
        </w:rPr>
        <w:t xml:space="preserve">Changing Lives, Changing Faces</w:t>
      </w:r>
      <w:r w:rsidDel="00000000" w:rsidR="00000000" w:rsidRPr="00000000">
        <w:rPr>
          <w:rtl w:val="0"/>
        </w:rPr>
        <w:t xml:space="preserve"> conference report.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itkg8a6a6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 formal report with comic-inspired elements for enhanced readability and impact.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zev0faojy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Process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UHAI EASHRI traditionally relied on standard Microsoft Word-formatted reports. My primary goal was to demonstrate the superior value of visual communication in organisational publications and advocate for a shift in how the team perceived and prioritized designed materials.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draft faced significant user experience challenges. Feedback from the UHAI team highlighted the need for improvements, leading to a complete redesign. During this iteration, we identified a core issue: the original report structure, prepared by the rapporteur, did not effectively support a visually driven output.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realisation prompted a fundamental shift toward value-based design. We revamped the </w:t>
      </w:r>
      <w:r w:rsidDel="00000000" w:rsidR="00000000" w:rsidRPr="00000000">
        <w:rPr>
          <w:b w:val="1"/>
          <w:bCs w:val="1"/>
          <w:rtl w:val="0"/>
        </w:rPr>
        <w:t xml:space="preserve">Changing Lives, Changing Faces</w:t>
      </w:r>
      <w:r w:rsidDel="00000000" w:rsidR="00000000" w:rsidRPr="00000000">
        <w:rPr>
          <w:rtl w:val="0"/>
        </w:rPr>
        <w:t xml:space="preserve"> report with a simpler, more colorful layout and a refreshed, outbound style—making it engaging, reader-friendly, and approachable.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cf6kslmaa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Outcomes &amp; Success Metrics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project's success was measured by two key factors: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substantial visual value to elevate the report beyond a traditional document.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Driving organizational change by challenging and updating norms around publication design.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redesign not only improved accessibility and engagement but also influenced UHAI's approach to future visual communication materials.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