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SOMALILAND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Overview</w:t>
      </w:r>
    </w:p>
    <w:p w:rsidR="00000000" w:rsidDel="00000000" w:rsidP="00000000" w:rsidRDefault="00000000" w:rsidRPr="00000000" w14:paraId="00000004">
      <w:pPr>
        <w:rPr/>
      </w:pPr>
      <w:r w:rsidDel="00000000" w:rsidR="00000000" w:rsidRPr="00000000">
        <w:rPr>
          <w:rtl w:val="0"/>
        </w:rPr>
        <w:t xml:space="preserve">The Institute for Strategic Insights and Research (ISIR) is an independent, nonpartisan organization that uses research to inform its policy advocacy work. It undertakes impartial policy research, training and analysis to organizations and decision-makers in the horn of African region who are working toward innovative thinking to stimulate formulation of sound public policies leading to positive outcomes in the fields of peace &amp; security, good governance, safeguarding human rights and democracy.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Challange</w:t>
      </w:r>
    </w:p>
    <w:p w:rsidR="00000000" w:rsidDel="00000000" w:rsidP="00000000" w:rsidRDefault="00000000" w:rsidRPr="00000000" w14:paraId="00000007">
      <w:pPr>
        <w:rPr/>
      </w:pPr>
      <w:r w:rsidDel="00000000" w:rsidR="00000000" w:rsidRPr="00000000">
        <w:rPr>
          <w:rtl w:val="0"/>
        </w:rPr>
        <w:t xml:space="preserve">In the wake of Somaliland's highly anticipated elections, where youth representation in the House of Representatives and local councils signaled a promising shift toward inclusive governance, a critical design challenge emerges: crafting compelling, accessible digital advocacy materials—such as infographics, interactive reports, and social media posters—that amplifed young people's voices amid persistent barriers like rampant unemployment, crumbling socio-economic infrastructure, and entrenched corruption. These materials must visually and narratively bridge the gap left by the previous 15-year parliament's failures in oversight and representation, urging the new legislative bodies to enact structural reforms for meaningful public participation in decision-making and enhanced local service delivery. The design evoked hope, using data-driven storytelling, culturally resonant visuals, and mobile-optimised layouts to engage a digitally savvy youth audience, foster cross-generational dialogue, and drive measurable policy advocacy outcomes in a resource-constrained environment.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AYSRH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Overview</w:t>
      </w:r>
    </w:p>
    <w:p w:rsidR="00000000" w:rsidDel="00000000" w:rsidP="00000000" w:rsidRDefault="00000000" w:rsidRPr="00000000" w14:paraId="0000000F">
      <w:pPr>
        <w:rPr/>
      </w:pPr>
      <w:r w:rsidDel="00000000" w:rsidR="00000000" w:rsidRPr="00000000">
        <w:rPr>
          <w:rtl w:val="0"/>
        </w:rPr>
        <w:t xml:space="preserve">At the height of covid 19, twelve organisations comp[rising of young people,  came together to put up this framework The development of the Nairobi Metropolitan AYRH 2020-2023 Implementation Framework was done through a consultative process with the secretariat which gave feedback and direction of the design. The design process began in October 2018 together with the technical working group meeting.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MID TERM REVIEW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Overview</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The "Mid Term Evaluation Report: Migori County Multisectoral Action Plan to Improve the Health and Well-Being of Adolescents and Youth 2018-2022" evaluates the progress made from July 2018 to December 2020 in addressing key health challenges faced by adolescents and youth in Migori County, Kenya. The report focuses on six priority areas: adolescent pregnancy, HIV/AIDS, sexual and gender-based violence (SGBV), advocacy, governance and coordination, and monitoring and evaluation. It highlights achievements such as a significant reduction in adolescent pregnancies, increased access to youth-friendly services, improved SGBV reporting and response, and enhanced advocacy efforts for resource allocation. The report design identifies challenges, such as gaps in funding, data reporting, and service accessibility, and provides actionable recommendations to strengthen interventions, scale up best practices, and ensure sustainable improvements in adolescent and youth health and well-being.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MOH</w:t>
      </w:r>
    </w:p>
    <w:p w:rsidR="00000000" w:rsidDel="00000000" w:rsidP="00000000" w:rsidRDefault="00000000" w:rsidRPr="00000000" w14:paraId="0000001D">
      <w:pPr>
        <w:rPr>
          <w:b w:val="1"/>
          <w:bCs w:val="1"/>
        </w:rPr>
      </w:pPr>
      <w:r w:rsidDel="00000000" w:rsidR="00000000" w:rsidRPr="00000000">
        <w:rPr>
          <w:b w:val="1"/>
          <w:bCs w:val="1"/>
          <w:rtl w:val="0"/>
        </w:rPr>
        <w:t xml:space="preserve">Overview</w:t>
      </w:r>
    </w:p>
    <w:p w:rsidR="00000000" w:rsidDel="00000000" w:rsidP="00000000" w:rsidRDefault="00000000" w:rsidRPr="00000000" w14:paraId="0000001E">
      <w:pPr>
        <w:spacing w:after="240" w:before="240" w:lineRule="auto"/>
        <w:rPr/>
      </w:pPr>
      <w:r w:rsidDel="00000000" w:rsidR="00000000" w:rsidRPr="00000000">
        <w:rPr>
          <w:rtl w:val="0"/>
        </w:rPr>
        <w:t xml:space="preserve">The document is the "National COVID-19 Vaccine Deployment Plan, 2021" by the Ministry of Health, Republic of Kenya. It outlines the country's strategy to vaccinate 26 million people by the end of 2022, aiming to reduce COVID-19 transmission, severe illness, hospitalizations, and deaths. The plan includes details on vaccine supply chain logistics, safety monitoring, data management, community engagement, training, and financing. It emphasizes the importance of public health measures alongside vaccination to combat the pandemic effectively. The design of the document was professional, featuring a modern layout with clear sections, tables, and visuals that enhance readability and provide structured information.</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