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A32D2D"/>
                <w:sz w:val="30"/>
                <w:szCs w:val="30"/>
              </w:rPr>
              <w:t xml:space="preserve">⚠ DÉCISION RECOMMANDÉE : NO-GO</w:t>
            </w:r>
          </w:p>
        </w:tc>
      </w:tr>
    </w:tbl>
    <w:p>
      <w:pPr>
        <w:spacing w:after="80" w:before="300"/>
        <w:jc w:val="center"/>
      </w:pPr>
      <w:r>
        <w:rPr>
          <w:b/>
          <w:bCs/>
          <w:color w:val="0B1F3A"/>
          <w:sz w:val="34"/>
          <w:szCs w:val="34"/>
        </w:rPr>
        <w:t xml:space="preserve">RAPPORT D'ABANDON D'OPPORTUNITÉ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[[INTITULE_OFFRE]]</w:t>
      </w:r>
    </w:p>
    <w:p>
      <w:pPr>
        <w:pStyle w:val="Heading1"/>
        <w:pBdr>
          <w:bottom w:val="single" w:color="A32D2D" w:sz="6" w:space="4"/>
        </w:pBdr>
        <w:spacing w:after="160" w:before="360"/>
      </w:pPr>
      <w:r>
        <w:rPr>
          <w:b/>
          <w:bCs/>
          <w:color w:val="A32D2D"/>
          <w:sz w:val="28"/>
          <w:szCs w:val="28"/>
        </w:rPr>
        <w:t xml:space="preserve">1. Identification du dossier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[[CLIENT]]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[[PAYS]]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de décision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[[DATE_GENERATION]]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[[ANALYSTE]]</w:t>
            </w:r>
          </w:p>
        </w:tc>
      </w:tr>
    </w:tbl>
    <w:p>
      <w:pPr>
        <w:pStyle w:val="Heading1"/>
        <w:pBdr>
          <w:bottom w:val="single" w:color="A32D2D" w:sz="6" w:space="4"/>
        </w:pBdr>
        <w:spacing w:after="160" w:before="360"/>
      </w:pPr>
      <w:r>
        <w:rPr>
          <w:b/>
          <w:bCs/>
          <w:color w:val="A32D2D"/>
          <w:sz w:val="28"/>
          <w:szCs w:val="28"/>
        </w:rPr>
        <w:t xml:space="preserve">2. Score P-Win et décomposition</w:t>
      </w:r>
    </w:p>
    <w:p>
      <w:pPr>
        <w:spacing w:after="160" w:before="120"/>
      </w:pPr>
      <w:r>
        <w:rPr>
          <w:b/>
          <w:bCs/>
          <w:sz w:val="26"/>
          <w:szCs w:val="26"/>
        </w:rPr>
        <w:t xml:space="preserve">Score Global : </w:t>
      </w:r>
      <w:r>
        <w:rPr>
          <w:b/>
          <w:bCs/>
          <w:color w:val="A32D2D"/>
          <w:sz w:val="30"/>
          <w:szCs w:val="30"/>
        </w:rPr>
        <w:t xml:space="preserve">[[PWIN_GLOBAL]]</w:t>
      </w:r>
    </w:p>
    <w:p>
      <w:pPr>
        <w:spacing w:after="200"/>
      </w:pPr>
      <w:r>
        <w:rPr>
          <w:sz w:val="22"/>
          <w:szCs w:val="22"/>
        </w:rPr>
        <w:t xml:space="preserve">[[SCORING_DETAIL]]</w:t>
      </w:r>
    </w:p>
    <w:p>
      <w:pPr>
        <w:pStyle w:val="Heading1"/>
        <w:pBdr>
          <w:bottom w:val="single" w:color="A32D2D" w:sz="6" w:space="4"/>
        </w:pBdr>
        <w:spacing w:after="160" w:before="360"/>
      </w:pPr>
      <w:r>
        <w:rPr>
          <w:b/>
          <w:bCs/>
          <w:color w:val="A32D2D"/>
          <w:sz w:val="28"/>
          <w:szCs w:val="28"/>
        </w:rPr>
        <w:t xml:space="preserve">3. Motifs principaux du No-Go</w:t>
      </w:r>
    </w:p>
    <w:p>
      <w:pPr>
        <w:spacing w:after="200"/>
      </w:pPr>
      <w:r>
        <w:rPr>
          <w:sz w:val="22"/>
          <w:szCs w:val="22"/>
        </w:rPr>
        <w:t xml:space="preserve">[[MOTIFS_PRINCIPAUX]]</w:t>
      </w:r>
    </w:p>
    <w:p>
      <w:pPr>
        <w:pStyle w:val="Heading1"/>
        <w:pBdr>
          <w:bottom w:val="single" w:color="A32D2D" w:sz="6" w:space="4"/>
        </w:pBdr>
        <w:spacing w:after="160" w:before="360"/>
      </w:pPr>
      <w:r>
        <w:rPr>
          <w:b/>
          <w:bCs/>
          <w:color w:val="A32D2D"/>
          <w:sz w:val="28"/>
          <w:szCs w:val="28"/>
        </w:rPr>
        <w:t xml:space="preserve">4. Analyse synthétique</w:t>
      </w:r>
    </w:p>
    <w:p>
      <w:pPr>
        <w:spacing w:after="200"/>
      </w:pPr>
      <w:r>
        <w:rPr>
          <w:sz w:val="22"/>
          <w:szCs w:val="22"/>
        </w:rPr>
        <w:t xml:space="preserve">[[ANALYSE_NARRATIVE]]</w:t>
      </w:r>
    </w:p>
    <w:p>
      <w:pPr>
        <w:pStyle w:val="Heading1"/>
        <w:pBdr>
          <w:bottom w:val="single" w:color="A32D2D" w:sz="6" w:space="4"/>
        </w:pBdr>
        <w:spacing w:after="160" w:before="360"/>
      </w:pPr>
      <w:r>
        <w:rPr>
          <w:b/>
          <w:bCs/>
          <w:color w:val="A32D2D"/>
          <w:sz w:val="28"/>
          <w:szCs w:val="28"/>
        </w:rPr>
        <w:t xml:space="preserve">5. Section forçage (si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Forçage Go demandé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[[FORCE_GO]]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[[FORCE_GO_JUSTIF]]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de forçage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[[FORCE_GO_TYPE]]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Demandé par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[[FORCE_GO_BY]]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[[FORCE_GO_AT]]</w:t>
            </w:r>
          </w:p>
        </w:tc>
      </w:tr>
    </w:tbl>
    <w:p>
      <w:pPr>
        <w:spacing w:before="300"/>
      </w:pPr>
      <w:r>
        <w:rPr>
          <w:i/>
          <w:iCs/>
          <w:color w:val="A32D2D"/>
          <w:sz w:val="18"/>
          <w:szCs w:val="18"/>
        </w:rPr>
        <w:t xml:space="preserve">⚠ Un risque coté "Rédhibitoire" ne peut jamais être contourné par un forçage, quelle que soit la justification fournie.</w:t>
      </w:r>
    </w:p>
    <w:p>
      <w:pPr>
        <w:pBdr>
          <w:top w:val="single" w:color="CCCCCC" w:sz="4" w:space="8"/>
        </w:pBdr>
        <w:spacing w:before="500"/>
      </w:pPr>
      <w:r>
        <w:rPr>
          <w:i/>
          <w:iCs/>
          <w:color w:val="888888"/>
          <w:sz w:val="16"/>
          <w:szCs w:val="16"/>
        </w:rPr>
        <w:t xml:space="preserve">Document généré automatiquement par ProjectIQ — Document interne, non destiné au client.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ProjectIQ — Rapport No-Go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2026-06-21T11:01:00.602Z</dcterms:created>
  <dcterms:modified xsi:type="dcterms:W3CDTF">2026-06-21T11:01:00.608Z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