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pStyle w:val="Title"/>
      </w:pPr>
      <w:r>
        <w:t xml:space="preserve">Production Readiness Evaluation</w:t>
      </w:r>
    </w:p>
    <w:p>
      <w:pPr>
        <w:pStyle w:val="Subtitle"/>
      </w:pPr>
      <w:r>
        <w:t xml:space="preserve">Billing App Assessment - 2026-03-17</w:t>
      </w:r>
    </w:p>
    <w:p>
      <w:pPr>
        <w:pStyle w:val="Heading1"/>
      </w:pPr>
      <w:r>
        <w:t xml:space="preserve">Overall Evaluation</w:t>
      </w:r>
    </w:p>
    <w:p>
      <w:r>
        <w:t xml:space="preserve">The system is performing well in the core workflows that were tested and fixed. It is suitable for real local business use in the verified scope, but it is not yet complete enough to be described as fully ready for every international or compliance-heavy billing scenario.</w:t>
      </w:r>
    </w:p>
    <w:p>
      <w:r>
        <w:t xml:space="preserve">The main business flows now work correctly in the tested environment: Sales Invoice, Sales Proforma, Purchase Bill, Payment In, Payment Out, Reports, Backup, Settings, and core navigation. However, some areas still need strengthening before a broader international production rollout.</w:t>
      </w:r>
    </w:p>
    <w:p>
      <w:pPr>
        <w:pStyle w:val="Heading1"/>
      </w:pPr>
      <w:r>
        <w:t xml:space="preserve">Core Business Readiness</w:t>
      </w:r>
    </w:p>
    <w:p>
      <w:pPr>
        <w:pStyle w:val="Heading2"/>
      </w:pPr>
      <w:r>
        <w:t xml:space="preserve">Invoice, Proforma, Purchase, and Payments</w:t>
      </w:r>
    </w:p>
    <w:p>
      <w:r>
        <w:t xml:space="preserve">• Sales Invoice flow is working correctly in the tested scenarios.</w:t>
      </w:r>
    </w:p>
    <w:p>
      <w:r>
        <w:t xml:space="preserve">• Sales Proforma flow is working correctly, including payment application and conversion to invoice.</w:t>
      </w:r>
    </w:p>
    <w:p>
      <w:r>
        <w:t xml:space="preserve">• Purchase Bill flow is working correctly in the tested scenarios.</w:t>
      </w:r>
    </w:p>
    <w:p>
      <w:r>
        <w:t xml:space="preserve">• Payment In and Payment Out flows are working correctly, including allocation and advance handling.</w:t>
      </w:r>
    </w:p>
    <w:p>
      <w:r>
        <w:t xml:space="preserve">Conclusion: the core transaction workflows are ready for normal operational use in the validated scope.</w:t>
      </w:r>
    </w:p>
    <w:p>
      <w:pPr>
        <w:pStyle w:val="Heading2"/>
      </w:pPr>
      <w:r>
        <w:t xml:space="preserve">Reports and Totals</w:t>
      </w:r>
    </w:p>
    <w:p>
      <w:r>
        <w:t xml:space="preserve">• Reports and export features passed the tested workflows.</w:t>
      </w:r>
    </w:p>
    <w:p>
      <w:r>
        <w:t xml:space="preserve">• The corrected proforma paid and balance logic is now consistent with payment application behavior.</w:t>
      </w:r>
    </w:p>
    <w:p>
      <w:r>
        <w:t xml:space="preserve">• Existing automated tax, validation, and FIFO/profit tests also passed.</w:t>
      </w:r>
    </w:p>
    <w:p>
      <w:r>
        <w:t xml:space="preserve">Conclusion: totals and reporting appear reliable for the tested cases, but they are not yet proven across every possible real-world combination of tax, currency, and data volume.</w:t>
      </w:r>
    </w:p>
    <w:p>
      <w:pPr>
        <w:pStyle w:val="Heading2"/>
      </w:pPr>
      <w:r>
        <w:t xml:space="preserve">Financial Calculation Risk</w:t>
      </w:r>
    </w:p>
    <w:p>
      <w:r>
        <w:t xml:space="preserve">Risk is low for the tested local workflows. Residual risk remains for untested combinations, especially broader international use, mixed-currency operation, and country-specific tax edge cases.</w:t>
      </w:r>
    </w:p>
    <w:p>
      <w:pPr>
        <w:pStyle w:val="Heading1"/>
      </w:pPr>
      <w:r>
        <w:t xml:space="preserve">Missing Features or Limitations</w:t>
      </w:r>
    </w:p>
    <w:p>
      <w:pPr>
        <w:pStyle w:val="Heading2"/>
      </w:pPr>
      <w:r>
        <w:t xml:space="preserve">Multi-Currency Support</w:t>
      </w:r>
    </w:p>
    <w:p>
      <w:r>
        <w:t xml:space="preserve">Multi-currency support is only partial. The system stores currencies and can display currency context, but it does not yet behave like a full multi-currency accounting system with strong exchange-rate handling, foreign receivable/payable control, and comprehensive currency-aware reporting.</w:t>
      </w:r>
    </w:p>
    <w:p>
      <w:pPr>
        <w:pStyle w:val="Heading2"/>
      </w:pPr>
      <w:r>
        <w:t xml:space="preserve">Tax / GST / VAT Handling</w:t>
      </w:r>
    </w:p>
    <w:p>
      <w:r>
        <w:t xml:space="preserve">India GST support is the strongest area. VAT and sales-tax support exist, but more validation is needed before treating the system as broadly compliant for multiple international jurisdictions.</w:t>
      </w:r>
    </w:p>
    <w:p>
      <w:pPr>
        <w:pStyle w:val="Heading2"/>
      </w:pPr>
      <w:r>
        <w:t xml:space="preserve">PDF Invoice Generation</w:t>
      </w:r>
    </w:p>
    <w:p>
      <w:r>
        <w:t xml:space="preserve">PDF and print-related document generation is present and usable. This area is not missing and is suitable for normal operational use.</w:t>
      </w:r>
    </w:p>
    <w:p>
      <w:pPr>
        <w:pStyle w:val="Heading2"/>
      </w:pPr>
      <w:r>
        <w:t xml:space="preserve">User Roles and Permissions</w:t>
      </w:r>
    </w:p>
    <w:p>
      <w:r>
        <w:t xml:space="preserve">Role-based access is present for Owner, Accounter, and Staff. The permissions are appropriate for a small-to-medium business system, but they are not yet at enterprise-grade segregation and approval depth.</w:t>
      </w:r>
    </w:p>
    <w:p>
      <w:pPr>
        <w:pStyle w:val="Heading2"/>
      </w:pPr>
      <w:r>
        <w:t xml:space="preserve">Backup and Restore</w:t>
      </w:r>
    </w:p>
    <w:p>
      <w:r>
        <w:t xml:space="preserve">Backup and restore features are present and working. They are suitable for operational protection, but they should not be treated as a complete enterprise disaster-recovery solution without further hardening.</w:t>
      </w:r>
    </w:p>
    <w:p>
      <w:pPr>
        <w:pStyle w:val="Heading1"/>
      </w:pPr>
      <w:r>
        <w:t xml:space="preserve">Reliability and Safety</w:t>
      </w:r>
    </w:p>
    <w:p>
      <w:pPr>
        <w:pStyle w:val="Heading2"/>
      </w:pPr>
      <w:r>
        <w:t xml:space="preserve">Edge Cases Still Risky</w:t>
      </w:r>
    </w:p>
    <w:p>
      <w:r>
        <w:t xml:space="preserve">• Untested report combinations with larger real-world datasets.</w:t>
      </w:r>
    </w:p>
    <w:p>
      <w:r>
        <w:t xml:space="preserve">• Mixed-currency invoicing and reporting scenarios.</w:t>
      </w:r>
    </w:p>
    <w:p>
      <w:r>
        <w:t xml:space="preserve">• Country-specific tax exceptions outside the currently modeled flows.</w:t>
      </w:r>
    </w:p>
    <w:p>
      <w:r>
        <w:t xml:space="preserve">• Operational risk if used in local/demo storage mode instead of a properly configured backend.</w:t>
      </w:r>
    </w:p>
    <w:p>
      <w:pPr>
        <w:pStyle w:val="Heading2"/>
      </w:pPr>
      <w:r>
        <w:t xml:space="preserve">Data Loss or Incorrect Calculation Possibility</w:t>
      </w:r>
    </w:p>
    <w:p>
      <w:r>
        <w:t xml:space="preserve">There is no active known defect in the tested core flows. However, if the system is used without a proper backend configuration, or used for advanced international accounting scenarios beyond current coverage, there is still meaningful risk of incomplete operational handling.</w:t>
      </w:r>
    </w:p>
    <w:p>
      <w:pPr>
        <w:pStyle w:val="Heading1"/>
      </w:pPr>
      <w:r>
        <w:t xml:space="preserve">Final Recommendation</w:t>
      </w:r>
    </w:p>
    <w:p>
      <w:pPr>
        <w:pStyle w:val="Heading2"/>
      </w:pPr>
      <w:r>
        <w:t xml:space="preserve">Local Business Use</w:t>
      </w:r>
    </w:p>
    <w:p>
      <w:r>
        <w:t xml:space="preserve">Yes. With the backend properly configured, the system is ready for local business production use in the tested core workflow scope.</w:t>
      </w:r>
    </w:p>
    <w:p>
      <w:pPr>
        <w:pStyle w:val="Heading2"/>
      </w:pPr>
      <w:r>
        <w:t xml:space="preserve">International Clients</w:t>
      </w:r>
    </w:p>
    <w:p>
      <w:r>
        <w:t xml:space="preserve">Not fully yet. It is acceptable only for simpler single-country or single-primary-currency usage where the implemented tax logic matches the client's operating model. It is not yet recommended as a fully mature international billing platform.</w:t>
      </w:r>
    </w:p>
    <w:p>
      <w:pPr>
        <w:pStyle w:val="Heading2"/>
      </w:pPr>
      <w:r>
        <w:t xml:space="preserve">Recommended Before Wider Production Release</w:t>
      </w:r>
    </w:p>
    <w:p>
      <w:r>
        <w:t xml:space="preserve">• Strengthen true multi-currency document and reporting support.</w:t>
      </w:r>
    </w:p>
    <w:p>
      <w:r>
        <w:t xml:space="preserve">• Expand international tax validation and jurisdiction-specific testing.</w:t>
      </w:r>
    </w:p>
    <w:p>
      <w:r>
        <w:t xml:space="preserve">• Add larger dataset reconciliation tests for reports and totals.</w:t>
      </w:r>
    </w:p>
    <w:p>
      <w:r>
        <w:t xml:space="preserve">• Further strengthen backup, recovery, and operational safeguards for multi-client deployment.</w:t>
      </w:r>
    </w:p>
    <w:p>
      <w:pPr>
        <w:pStyle w:val="Heading2"/>
      </w:pPr>
      <w:r>
        <w:t xml:space="preserve">Final Decision</w:t>
      </w:r>
    </w:p>
    <w:p>
      <w:r>
        <w:t xml:space="preserve">Ready for local production use: Yes. Ready for broad international production use: Not yet. The correct next step before wider release is to improve multi-currency depth and international tax/reporting coverage.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style>
  <w:style w:type="paragraph" w:styleId="Title">
    <w:name w:val="Title"/>
    <w:basedOn w:val="Normal"/>
    <w:qFormat/>
    <w:rPr>
      <w:b/>
      <w:color w:val="0F5F46"/>
      <w:sz w:val="36"/>
      <w:szCs w:val="36"/>
    </w:rPr>
  </w:style>
  <w:style w:type="paragraph" w:styleId="Subtitle">
    <w:name w:val="Subtitle"/>
    <w:basedOn w:val="Normal"/>
    <w:qFormat/>
    <w:rPr>
      <w:color w:val="666666"/>
      <w:sz w:val="22"/>
      <w:szCs w:val="22"/>
    </w:rPr>
  </w:style>
  <w:style w:type="paragraph" w:styleId="Heading1">
    <w:name w:val="heading 1"/>
    <w:basedOn w:val="Normal"/>
    <w:qFormat/>
    <w:rPr>
      <w:b/>
      <w:color w:val="1F2937"/>
      <w:sz w:val="28"/>
      <w:szCs w:val="28"/>
    </w:rPr>
  </w:style>
  <w:style w:type="paragraph" w:styleId="Heading2">
    <w:name w:val="heading 2"/>
    <w:basedOn w:val="Normal"/>
    <w:qFormat/>
    <w:rPr>
      <w:b/>
      <w:color w:val="374151"/>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Readiness Evaluation</dc:title>
  <dc:creator>OpenAI Codex</dc:creator>
  <cp:lastModifiedBy>OpenAI Codex</cp:lastModifiedBy>
  <dcterms:created xsi:type="dcterms:W3CDTF">2026-03-17T00:00:00Z</dcterms:created>
  <dcterms:modified xsi:type="dcterms:W3CDTF">2026-03-17T00:00:00Z</dcterms:modified>
</cp:coreProperties>
</file>