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BD3F39">
      <w:r>
        <w:t xml:space="preserve">Non </w:t>
      </w:r>
      <w:proofErr w:type="spellStart"/>
      <w:r>
        <w:t>stadalone</w:t>
      </w:r>
      <w:proofErr w:type="spellEnd"/>
      <w:r>
        <w:t xml:space="preserve"> – Radio 5g que se baseia na infraestrutura de rede $G LTE atual</w:t>
      </w:r>
    </w:p>
    <w:p w:rsidR="00BD3F39" w:rsidRDefault="00BD3F39">
      <w:r>
        <w:t>DSS- é uma Tecnologia que compartilha o espectro entre usuários 4g e 5g</w:t>
      </w:r>
    </w:p>
    <w:p w:rsidR="00BD3F39" w:rsidRDefault="00BD3F39">
      <w:proofErr w:type="spellStart"/>
      <w:r>
        <w:t>Radios</w:t>
      </w:r>
      <w:proofErr w:type="spellEnd"/>
      <w:r>
        <w:t xml:space="preserve"> Bases – são equipamentos que fazem a conexão entre os telefones celulares e a companhia telefônica.</w:t>
      </w:r>
    </w:p>
    <w:p w:rsidR="00BD3F39" w:rsidRDefault="00BD3F39">
      <w:pPr>
        <w:rPr>
          <w:rFonts w:ascii="Arial" w:hAnsi="Arial" w:cs="Arial"/>
          <w:color w:val="3F3F3F"/>
          <w:sz w:val="27"/>
          <w:szCs w:val="27"/>
          <w:shd w:val="clear" w:color="auto" w:fill="FFFFFF"/>
        </w:rPr>
      </w:pPr>
      <w:r>
        <w:t xml:space="preserve">UIT - </w:t>
      </w:r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t>é uma agência especializada, associada à Organização das Nações Unidas (ONU), responsável pela governança de processos e mecanismos de coordenação para o desenvolvimento das tecnologias de informação e comunicação (</w:t>
      </w:r>
      <w:proofErr w:type="spellStart"/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t>TICs</w:t>
      </w:r>
      <w:proofErr w:type="spellEnd"/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t>).</w:t>
      </w:r>
    </w:p>
    <w:p w:rsidR="00BD3F39" w:rsidRDefault="00BD3F39"/>
    <w:p w:rsidR="00BD3F39" w:rsidRDefault="00BD3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principal característica comum a todas as evoluções das gerações de telefonia celular são o aumento da taxa de dados para suportar novas aplicações.</w:t>
      </w:r>
    </w:p>
    <w:p w:rsidR="00BD3F39" w:rsidRDefault="00BD3F39">
      <w:pPr>
        <w:rPr>
          <w:rFonts w:ascii="Arial" w:hAnsi="Arial" w:cs="Arial"/>
          <w:color w:val="3F3F3F"/>
          <w:sz w:val="27"/>
          <w:szCs w:val="27"/>
          <w:shd w:val="clear" w:color="auto" w:fill="FFFFFF"/>
        </w:rPr>
      </w:pPr>
      <w:r>
        <w:rPr>
          <w:rStyle w:val="Forte"/>
          <w:rFonts w:ascii="Arial" w:hAnsi="Arial" w:cs="Arial"/>
          <w:color w:val="3F3F3F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t> é uma agência especializada, associada à Organização das Nações Unidas (ONU), responsável pela governança de processos e mecanismos de coordenação para o desenvolvimento das tecnologias de informação e comunicação (</w:t>
      </w:r>
      <w:proofErr w:type="spellStart"/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t>TICs</w:t>
      </w:r>
      <w:proofErr w:type="spellEnd"/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t>).</w:t>
      </w:r>
    </w:p>
    <w:p w:rsidR="009C32F4" w:rsidRDefault="009C32F4">
      <w:pPr>
        <w:rPr>
          <w:rFonts w:ascii="Times New Roman" w:hAnsi="Times New Roman" w:cs="Times New Roman"/>
        </w:rPr>
      </w:pPr>
    </w:p>
    <w:p w:rsidR="009C32F4" w:rsidRDefault="009C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Rede de Transporte no 5G pode ser separada em </w:t>
      </w:r>
      <w:proofErr w:type="spellStart"/>
      <w:r>
        <w:rPr>
          <w:rFonts w:ascii="Times New Roman" w:hAnsi="Times New Roman" w:cs="Times New Roman"/>
        </w:rPr>
        <w:t>fronthaul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backhaul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midhaul</w:t>
      </w:r>
      <w:proofErr w:type="spellEnd"/>
    </w:p>
    <w:p w:rsidR="00A05244" w:rsidRDefault="00A05244">
      <w:pPr>
        <w:rPr>
          <w:rFonts w:ascii="Times New Roman" w:hAnsi="Times New Roman" w:cs="Times New Roman"/>
        </w:rPr>
      </w:pPr>
    </w:p>
    <w:p w:rsidR="00A05244" w:rsidRDefault="00A0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Vantagens da separação entre o plano do usuário e plano de controle (CUPS)</w:t>
      </w:r>
    </w:p>
    <w:p w:rsidR="00A05244" w:rsidRDefault="00A05244">
      <w:pPr>
        <w:rPr>
          <w:rFonts w:ascii="Times New Roman" w:hAnsi="Times New Roman" w:cs="Times New Roman"/>
        </w:rPr>
      </w:pPr>
    </w:p>
    <w:p w:rsidR="00A05244" w:rsidRDefault="00A0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 um segmento de alta capacidade no tráfego de dados de outros segmentos de rede que são menos demandantes nesse requisito</w:t>
      </w:r>
    </w:p>
    <w:p w:rsidR="00A05244" w:rsidRDefault="00A05244">
      <w:pPr>
        <w:rPr>
          <w:rFonts w:ascii="Times New Roman" w:hAnsi="Times New Roman" w:cs="Times New Roman"/>
        </w:rPr>
      </w:pPr>
    </w:p>
    <w:p w:rsidR="00A05244" w:rsidRDefault="00A0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5G é o padrão de tecnologia de quinta geração para redes moveis e banda larga</w:t>
      </w:r>
    </w:p>
    <w:p w:rsidR="00A05244" w:rsidRDefault="00A05244">
      <w:pPr>
        <w:rPr>
          <w:rFonts w:ascii="Arial" w:hAnsi="Arial" w:cs="Arial"/>
          <w:color w:val="FFFFFF"/>
          <w:sz w:val="27"/>
          <w:szCs w:val="27"/>
          <w:shd w:val="clear" w:color="auto" w:fill="1E0F40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>Quando implantamos uma rede totalmente nova, sem preocupações com </w:t>
      </w:r>
      <w:r>
        <w:rPr>
          <w:rStyle w:val="Forte"/>
        </w:rPr>
        <w:t>Redes Legadas</w:t>
      </w:r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>, estamos falando de uma rede </w:t>
      </w:r>
      <w:proofErr w:type="spellStart"/>
      <w:r>
        <w:rPr>
          <w:rStyle w:val="nfase"/>
          <w:rFonts w:ascii="Arial" w:hAnsi="Arial" w:cs="Arial"/>
          <w:b/>
          <w:bCs/>
          <w:color w:val="FFFFFF"/>
          <w:sz w:val="27"/>
          <w:szCs w:val="27"/>
          <w:shd w:val="clear" w:color="auto" w:fill="1E0F40"/>
        </w:rPr>
        <w:t>greenfield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 xml:space="preserve">. </w:t>
      </w:r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 xml:space="preserve"> J</w:t>
      </w:r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>á em um cenário em que temos integrações com redes legadas, o cenário é conhecido como </w:t>
      </w:r>
      <w:proofErr w:type="spellStart"/>
      <w:r>
        <w:rPr>
          <w:rStyle w:val="nfase"/>
          <w:rFonts w:ascii="Arial" w:hAnsi="Arial" w:cs="Arial"/>
          <w:b/>
          <w:bCs/>
          <w:color w:val="FFFFFF"/>
          <w:sz w:val="27"/>
          <w:szCs w:val="27"/>
          <w:shd w:val="clear" w:color="auto" w:fill="1E0F40"/>
        </w:rPr>
        <w:t>brownfield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>.</w:t>
      </w:r>
    </w:p>
    <w:p w:rsidR="00A05244" w:rsidRDefault="00A05244">
      <w:pPr>
        <w:rPr>
          <w:rFonts w:ascii="Arial" w:hAnsi="Arial" w:cs="Arial"/>
          <w:color w:val="FFFFFF"/>
          <w:sz w:val="27"/>
          <w:szCs w:val="27"/>
          <w:shd w:val="clear" w:color="auto" w:fill="0596A6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>Uma arquitetura </w:t>
      </w:r>
      <w:proofErr w:type="spellStart"/>
      <w:r>
        <w:rPr>
          <w:rStyle w:val="Forte"/>
          <w:rFonts w:ascii="Arial" w:hAnsi="Arial" w:cs="Arial"/>
          <w:color w:val="FFFFFF"/>
          <w:sz w:val="27"/>
          <w:szCs w:val="27"/>
          <w:shd w:val="clear" w:color="auto" w:fill="0596A6"/>
        </w:rPr>
        <w:t>Standalone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 xml:space="preserve"> é uma arquitetura 5G pura que interliga um núcleo 5GC e </w:t>
      </w: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>gNodeBs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 xml:space="preserve"> através das interfaces NG e </w:t>
      </w: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>Xn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>.</w:t>
      </w:r>
    </w:p>
    <w:p w:rsidR="00A05244" w:rsidRDefault="00A05244">
      <w:pPr>
        <w:rPr>
          <w:rFonts w:ascii="Arial" w:hAnsi="Arial" w:cs="Arial"/>
          <w:color w:val="FFFFFF"/>
          <w:sz w:val="27"/>
          <w:szCs w:val="27"/>
          <w:shd w:val="clear" w:color="auto" w:fill="1E0F40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>A União Internacional de Telecomunicações (UIT) elaborou um documento de visão sobre o 5G, no qual se estabelecia que o 5G deveria ser </w:t>
      </w:r>
      <w:r>
        <w:rPr>
          <w:rStyle w:val="Forte"/>
          <w:rFonts w:ascii="Arial" w:hAnsi="Arial" w:cs="Arial"/>
          <w:color w:val="FFFFFF"/>
          <w:sz w:val="27"/>
          <w:szCs w:val="27"/>
          <w:shd w:val="clear" w:color="auto" w:fill="1E0F40"/>
        </w:rPr>
        <w:t>uma infraestrutura de comunicações sem fio para conectar o mundo</w:t>
      </w:r>
      <w:r>
        <w:rPr>
          <w:rFonts w:ascii="Arial" w:hAnsi="Arial" w:cs="Arial"/>
          <w:color w:val="FFFFFF"/>
          <w:sz w:val="27"/>
          <w:szCs w:val="27"/>
          <w:shd w:val="clear" w:color="auto" w:fill="1E0F40"/>
        </w:rPr>
        <w:t>. Este é um desafio muito ousado, principalmente se considerarmos que cada caso de uso tem características próprias.</w:t>
      </w:r>
    </w:p>
    <w:p w:rsidR="00D8197A" w:rsidRDefault="00D8197A">
      <w:pPr>
        <w:rPr>
          <w:rFonts w:ascii="Arial" w:hAnsi="Arial" w:cs="Arial"/>
          <w:color w:val="3F3F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lastRenderedPageBreak/>
        <w:t>A </w:t>
      </w:r>
      <w:r>
        <w:t>Internet das Coisas (</w:t>
      </w:r>
      <w:proofErr w:type="spellStart"/>
      <w:r>
        <w:t>IoT</w:t>
      </w:r>
      <w:proofErr w:type="spellEnd"/>
      <w:r>
        <w:t>)</w:t>
      </w:r>
      <w:r>
        <w:rPr>
          <w:rFonts w:ascii="Arial" w:hAnsi="Arial" w:cs="Arial"/>
          <w:color w:val="3F3F3F"/>
          <w:sz w:val="27"/>
          <w:szCs w:val="27"/>
          <w:shd w:val="clear" w:color="auto" w:fill="FFFFFF"/>
        </w:rPr>
        <w:t> se caracteriza pelo uso de eletrônica embarcada em dispositivos que contam com sensores, atuadores e conexão à internet.</w:t>
      </w:r>
    </w:p>
    <w:p w:rsidR="00D8197A" w:rsidRDefault="00D8197A">
      <w:pPr>
        <w:rPr>
          <w:rFonts w:ascii="Times New Roman" w:hAnsi="Times New Roman" w:cs="Times New Roman"/>
        </w:rPr>
      </w:pPr>
      <w:r w:rsidRPr="00D8197A">
        <w:rPr>
          <w:rFonts w:ascii="Times New Roman" w:hAnsi="Times New Roman" w:cs="Times New Roman"/>
        </w:rPr>
        <w:drawing>
          <wp:inline distT="0" distB="0" distL="0" distR="0" wp14:anchorId="5AFF8ED5" wp14:editId="2D772EEB">
            <wp:extent cx="5400040" cy="2419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A" w:rsidRPr="00D8197A" w:rsidRDefault="00D8197A" w:rsidP="00D8197A">
      <w:pPr>
        <w:pBdr>
          <w:left w:val="single" w:sz="24" w:space="8" w:color="1977A3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aps/>
          <w:color w:val="367DD9"/>
          <w:sz w:val="34"/>
          <w:szCs w:val="34"/>
          <w:lang w:eastAsia="pt-BR"/>
        </w:rPr>
      </w:pPr>
      <w:r w:rsidRPr="00D8197A">
        <w:rPr>
          <w:rFonts w:ascii="Arial" w:eastAsia="Times New Roman" w:hAnsi="Arial" w:cs="Arial"/>
          <w:b/>
          <w:bCs/>
          <w:caps/>
          <w:color w:val="367DD9"/>
          <w:sz w:val="34"/>
          <w:szCs w:val="34"/>
          <w:lang w:eastAsia="pt-BR"/>
        </w:rPr>
        <w:t>TECNOLOGIAS APLICADAS NA </w:t>
      </w:r>
      <w:r w:rsidRPr="00D8197A">
        <w:rPr>
          <w:rFonts w:ascii="Arial" w:eastAsia="Times New Roman" w:hAnsi="Arial" w:cs="Arial"/>
          <w:b/>
          <w:bCs/>
          <w:i/>
          <w:iCs/>
          <w:caps/>
          <w:color w:val="367DD9"/>
          <w:sz w:val="34"/>
          <w:szCs w:val="34"/>
          <w:lang w:eastAsia="pt-BR"/>
        </w:rPr>
        <w:t>RELEASE</w:t>
      </w:r>
      <w:r w:rsidRPr="00D8197A">
        <w:rPr>
          <w:rFonts w:ascii="Arial" w:eastAsia="Times New Roman" w:hAnsi="Arial" w:cs="Arial"/>
          <w:b/>
          <w:bCs/>
          <w:caps/>
          <w:color w:val="367DD9"/>
          <w:sz w:val="34"/>
          <w:szCs w:val="34"/>
          <w:lang w:eastAsia="pt-BR"/>
        </w:rPr>
        <w:t> 17</w:t>
      </w:r>
    </w:p>
    <w:p w:rsidR="00D8197A" w:rsidRPr="00D8197A" w:rsidRDefault="00D8197A" w:rsidP="00D8197A">
      <w:pPr>
        <w:shd w:val="clear" w:color="auto" w:fill="FFFFFF"/>
        <w:spacing w:before="120" w:after="120" w:line="240" w:lineRule="auto"/>
        <w:ind w:left="120" w:right="120"/>
        <w:rPr>
          <w:rFonts w:ascii="Arial" w:eastAsia="Times New Roman" w:hAnsi="Arial" w:cs="Arial"/>
          <w:color w:val="3F3F3F"/>
          <w:sz w:val="27"/>
          <w:szCs w:val="27"/>
          <w:lang w:eastAsia="pt-BR"/>
        </w:rPr>
      </w:pPr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A partir da </w:t>
      </w:r>
      <w:r w:rsidRPr="00D8197A">
        <w:rPr>
          <w:rFonts w:ascii="Arial" w:eastAsia="Times New Roman" w:hAnsi="Arial" w:cs="Arial"/>
          <w:i/>
          <w:iCs/>
          <w:color w:val="3F3F3F"/>
          <w:sz w:val="27"/>
          <w:szCs w:val="27"/>
          <w:lang w:eastAsia="pt-BR"/>
        </w:rPr>
        <w:t>Release</w:t>
      </w:r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 17 do 3GPP, uma nova classe de dispositivos que utilizam a RAT 5G NR será introduzida. Inicialmente referenciados como dispositivos NR Light, ou NR Lite, e agora oficialmente designados como </w:t>
      </w:r>
      <w:proofErr w:type="spellStart"/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RedCap</w:t>
      </w:r>
      <w:proofErr w:type="spellEnd"/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 xml:space="preserve">, essa nova classe de dispositivos trará para o ambiente de </w:t>
      </w:r>
      <w:proofErr w:type="spellStart"/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IoT</w:t>
      </w:r>
      <w:proofErr w:type="spellEnd"/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 xml:space="preserve"> 5G capacidades que agregam, em uma solução de compromisso, latências, confiabilidade e taxas de dados melhores que as dos dispositivos NB-</w:t>
      </w:r>
      <w:proofErr w:type="spellStart"/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IoT</w:t>
      </w:r>
      <w:proofErr w:type="spellEnd"/>
      <w:r w:rsidRPr="00D8197A">
        <w:rPr>
          <w:rFonts w:ascii="Arial" w:eastAsia="Times New Roman" w:hAnsi="Arial" w:cs="Arial"/>
          <w:color w:val="3F3F3F"/>
          <w:sz w:val="27"/>
          <w:szCs w:val="27"/>
          <w:lang w:eastAsia="pt-BR"/>
        </w:rPr>
        <w:t xml:space="preserve"> e CAT-M, mas sem onerar o custo e o consumo de energia como o dos dispositivos 5G NR de alto desempenho.</w:t>
      </w:r>
    </w:p>
    <w:p w:rsidR="00D8197A" w:rsidRDefault="00D8197A">
      <w:pPr>
        <w:rPr>
          <w:rFonts w:ascii="Times New Roman" w:hAnsi="Times New Roman" w:cs="Times New Roman"/>
        </w:rPr>
      </w:pPr>
      <w:r w:rsidRPr="00D8197A">
        <w:rPr>
          <w:rFonts w:ascii="Times New Roman" w:hAnsi="Times New Roman" w:cs="Times New Roman"/>
        </w:rPr>
        <w:drawing>
          <wp:inline distT="0" distB="0" distL="0" distR="0" wp14:anchorId="359F5494" wp14:editId="5C82FDC7">
            <wp:extent cx="5400040" cy="175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A" w:rsidRDefault="00D8197A">
      <w:pPr>
        <w:rPr>
          <w:rFonts w:ascii="Times New Roman" w:hAnsi="Times New Roman" w:cs="Times New Roman"/>
        </w:rPr>
      </w:pPr>
      <w:r w:rsidRPr="00D8197A">
        <w:rPr>
          <w:rFonts w:ascii="Times New Roman" w:hAnsi="Times New Roman" w:cs="Times New Roman"/>
        </w:rPr>
        <w:drawing>
          <wp:inline distT="0" distB="0" distL="0" distR="0" wp14:anchorId="116D6C88" wp14:editId="477C4B2F">
            <wp:extent cx="5400040" cy="535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A" w:rsidRDefault="00D8197A">
      <w:pPr>
        <w:rPr>
          <w:rFonts w:ascii="Arial" w:hAnsi="Arial" w:cs="Arial"/>
          <w:color w:val="FFFFFF"/>
          <w:sz w:val="27"/>
          <w:szCs w:val="27"/>
          <w:shd w:val="clear" w:color="auto" w:fill="0596A6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>A banda larga fixa sem fio (FWA) é um serviço que faz uso de comunicação </w:t>
      </w:r>
      <w:r>
        <w:rPr>
          <w:rStyle w:val="nfase"/>
          <w:rFonts w:ascii="Arial" w:hAnsi="Arial" w:cs="Arial"/>
          <w:color w:val="FFFFFF"/>
          <w:sz w:val="27"/>
          <w:szCs w:val="27"/>
          <w:shd w:val="clear" w:color="auto" w:fill="0596A6"/>
        </w:rPr>
        <w:t>wireless</w:t>
      </w:r>
      <w:r>
        <w:rPr>
          <w:rFonts w:ascii="Arial" w:hAnsi="Arial" w:cs="Arial"/>
          <w:color w:val="FFFFFF"/>
          <w:sz w:val="27"/>
          <w:szCs w:val="27"/>
          <w:shd w:val="clear" w:color="auto" w:fill="0596A6"/>
        </w:rPr>
        <w:t> na rede de acesso banda larga, em substituição a sistemas cabeados de fibra ou cobre.</w:t>
      </w:r>
    </w:p>
    <w:p w:rsidR="00D8197A" w:rsidRDefault="00D8197A">
      <w:pPr>
        <w:rPr>
          <w:rFonts w:ascii="Arial" w:hAnsi="Arial" w:cs="Arial"/>
          <w:color w:val="FFFFFF"/>
          <w:sz w:val="27"/>
          <w:szCs w:val="27"/>
          <w:shd w:val="clear" w:color="auto" w:fill="01579B"/>
        </w:rPr>
      </w:pP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01579B"/>
        </w:rPr>
        <w:lastRenderedPageBreak/>
        <w:t>ndústria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01579B"/>
        </w:rPr>
        <w:t xml:space="preserve"> 4.0 é um conceito que representa a </w:t>
      </w:r>
      <w:r>
        <w:rPr>
          <w:rStyle w:val="Forte"/>
          <w:rFonts w:ascii="Arial" w:hAnsi="Arial" w:cs="Arial"/>
          <w:color w:val="FFFFFF"/>
          <w:sz w:val="27"/>
          <w:szCs w:val="27"/>
          <w:shd w:val="clear" w:color="auto" w:fill="01579B"/>
        </w:rPr>
        <w:t>automação industrial e a integração de diferentes tecnologias</w:t>
      </w:r>
      <w:r>
        <w:rPr>
          <w:rFonts w:ascii="Arial" w:hAnsi="Arial" w:cs="Arial"/>
          <w:color w:val="FFFFFF"/>
          <w:sz w:val="27"/>
          <w:szCs w:val="27"/>
          <w:shd w:val="clear" w:color="auto" w:fill="01579B"/>
        </w:rPr>
        <w:t> como inteligência artificial, robótica, internet das coisas e computação em nuvem, com o objetivo de promover a digitalização das atividades industriais, melhorando os processos e aumentando a produtividade.</w:t>
      </w:r>
    </w:p>
    <w:p w:rsidR="00D8197A" w:rsidRDefault="00D8197A">
      <w:pPr>
        <w:rPr>
          <w:rFonts w:ascii="Times New Roman" w:hAnsi="Times New Roman" w:cs="Times New Roman"/>
        </w:rPr>
      </w:pPr>
    </w:p>
    <w:p w:rsidR="00D8197A" w:rsidRDefault="00D81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Agricultura Digital </w:t>
      </w:r>
    </w:p>
    <w:p w:rsidR="00D8197A" w:rsidRPr="00D8197A" w:rsidRDefault="00D8197A" w:rsidP="00D8197A">
      <w:pPr>
        <w:numPr>
          <w:ilvl w:val="0"/>
          <w:numId w:val="1"/>
        </w:numPr>
        <w:shd w:val="clear" w:color="auto" w:fill="0596A6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Emprego de drones para monitoramento de plantações e rebanhos (até mesmo fora da linha de </w:t>
      </w:r>
      <w:proofErr w:type="gramStart"/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visada visual</w:t>
      </w:r>
      <w:proofErr w:type="gramEnd"/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- BLOS);</w:t>
      </w:r>
      <w:r w:rsidRPr="00D8197A">
        <w:rPr>
          <w:rFonts w:ascii="Arial" w:eastAsia="Times New Roman" w:hAnsi="Arial" w:cs="Arial"/>
          <w:noProof/>
          <w:color w:val="FFFFFF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tângulo 4" descr="https://ava1.sp.senai.br/pluginfile.php/4749239/mod_scorm/content/4/img/modulo-3/aula-2/21020-m03-a02-020-dro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97998" id="Retângulo 4" o:spid="_x0000_s1026" alt="https://ava1.sp.senai.br/pluginfile.php/4749239/mod_scorm/content/4/img/modulo-3/aula-2/21020-m03-a02-020-drone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ARX0aMQAwAANA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D8197A" w:rsidRPr="00D8197A" w:rsidRDefault="00D8197A" w:rsidP="00D8197A">
      <w:pPr>
        <w:numPr>
          <w:ilvl w:val="0"/>
          <w:numId w:val="1"/>
        </w:numPr>
        <w:shd w:val="clear" w:color="auto" w:fill="0596A6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Operação remota e/ou autônoma de máquinas agrícolas;</w:t>
      </w:r>
    </w:p>
    <w:p w:rsidR="00D8197A" w:rsidRPr="00D8197A" w:rsidRDefault="00D8197A" w:rsidP="00D8197A">
      <w:pPr>
        <w:numPr>
          <w:ilvl w:val="0"/>
          <w:numId w:val="1"/>
        </w:numPr>
        <w:shd w:val="clear" w:color="auto" w:fill="0596A6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Uso de localização precisa sem uso de GPS para a agricultura de precisão e pecuária, entre outras.</w:t>
      </w:r>
    </w:p>
    <w:p w:rsidR="00D8197A" w:rsidRPr="00D8197A" w:rsidRDefault="00D8197A" w:rsidP="00D8197A">
      <w:pPr>
        <w:numPr>
          <w:ilvl w:val="0"/>
          <w:numId w:val="1"/>
        </w:numPr>
        <w:shd w:val="clear" w:color="auto" w:fill="0596A6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Emprego de drones para monitoramento de plantações e rebanhos (até mesmo fora da linha de </w:t>
      </w:r>
      <w:proofErr w:type="gramStart"/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visada visual</w:t>
      </w:r>
      <w:proofErr w:type="gramEnd"/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- BLOS);</w:t>
      </w:r>
      <w:r w:rsidRPr="00D8197A">
        <w:rPr>
          <w:rFonts w:ascii="Arial" w:eastAsia="Times New Roman" w:hAnsi="Arial" w:cs="Arial"/>
          <w:noProof/>
          <w:color w:val="FFFFFF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https://ava1.sp.senai.br/pluginfile.php/4749239/mod_scorm/content/4/img/modulo-3/aula-2/21020-m03-a02-020-dro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FCFE2" id="Retângulo 5" o:spid="_x0000_s1026" alt="https://ava1.sp.senai.br/pluginfile.php/4749239/mod_scorm/content/4/img/modulo-3/aula-2/21020-m03-a02-020-dron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1wzUnhADAAA0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D8197A" w:rsidRPr="00D8197A" w:rsidRDefault="00D8197A" w:rsidP="00D8197A">
      <w:pPr>
        <w:numPr>
          <w:ilvl w:val="0"/>
          <w:numId w:val="1"/>
        </w:numPr>
        <w:shd w:val="clear" w:color="auto" w:fill="0596A6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Operação remota e/ou autônoma de máquinas agrícolas;</w:t>
      </w:r>
    </w:p>
    <w:p w:rsidR="00D8197A" w:rsidRPr="00D8197A" w:rsidRDefault="00D8197A" w:rsidP="00D8197A">
      <w:pPr>
        <w:numPr>
          <w:ilvl w:val="0"/>
          <w:numId w:val="1"/>
        </w:numPr>
        <w:shd w:val="clear" w:color="auto" w:fill="0596A6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r w:rsidRPr="00D8197A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Uso de localização precisa sem uso de GPS para a agricultura de precisão e pecuária, entre outras.</w:t>
      </w:r>
    </w:p>
    <w:p w:rsidR="00D8197A" w:rsidRDefault="00663B19">
      <w:pPr>
        <w:rPr>
          <w:rFonts w:ascii="Arial" w:hAnsi="Arial" w:cs="Arial"/>
          <w:color w:val="3F3F3F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F3F3F"/>
          <w:sz w:val="27"/>
          <w:szCs w:val="27"/>
          <w:shd w:val="clear" w:color="auto" w:fill="EEEEEE"/>
        </w:rPr>
        <w:t>Conhecemos também informações sobre o </w:t>
      </w:r>
      <w:r>
        <w:rPr>
          <w:rStyle w:val="Forte"/>
          <w:rFonts w:ascii="Arial" w:hAnsi="Arial" w:cs="Arial"/>
          <w:color w:val="3F3F3F"/>
          <w:sz w:val="27"/>
          <w:szCs w:val="27"/>
          <w:shd w:val="clear" w:color="auto" w:fill="EEEEEE"/>
        </w:rPr>
        <w:t>3GPP</w:t>
      </w:r>
      <w:r>
        <w:rPr>
          <w:rFonts w:ascii="Arial" w:hAnsi="Arial" w:cs="Arial"/>
          <w:color w:val="3F3F3F"/>
          <w:sz w:val="27"/>
          <w:szCs w:val="27"/>
          <w:shd w:val="clear" w:color="auto" w:fill="EEEEEE"/>
        </w:rPr>
        <w:t>, que é a principal organização industrial de padronização das comunicações móveis celulares no mundo e que estabelece em suas </w:t>
      </w:r>
      <w:r>
        <w:rPr>
          <w:rStyle w:val="nfase"/>
          <w:rFonts w:ascii="Arial" w:hAnsi="Arial" w:cs="Arial"/>
          <w:color w:val="3F3F3F"/>
          <w:sz w:val="27"/>
          <w:szCs w:val="27"/>
          <w:shd w:val="clear" w:color="auto" w:fill="EEEEEE"/>
        </w:rPr>
        <w:t>Releases</w:t>
      </w:r>
      <w:r>
        <w:rPr>
          <w:rFonts w:ascii="Arial" w:hAnsi="Arial" w:cs="Arial"/>
          <w:color w:val="3F3F3F"/>
          <w:sz w:val="27"/>
          <w:szCs w:val="27"/>
          <w:shd w:val="clear" w:color="auto" w:fill="EEEEEE"/>
        </w:rPr>
        <w:t> os marcos de evolução destes padrões, incluindo o 5G.</w:t>
      </w:r>
    </w:p>
    <w:p w:rsidR="00663B19" w:rsidRDefault="00663B19">
      <w:pPr>
        <w:rPr>
          <w:rFonts w:ascii="Times New Roman" w:hAnsi="Times New Roman" w:cs="Times New Roman"/>
        </w:rPr>
      </w:pPr>
    </w:p>
    <w:p w:rsidR="00663B19" w:rsidRPr="00663B19" w:rsidRDefault="00663B19" w:rsidP="00663B19">
      <w:pPr>
        <w:shd w:val="clear" w:color="auto" w:fill="EEEEEE"/>
        <w:spacing w:after="120" w:line="240" w:lineRule="auto"/>
        <w:ind w:left="120" w:right="120"/>
        <w:rPr>
          <w:rFonts w:ascii="Arial" w:eastAsia="Times New Roman" w:hAnsi="Arial" w:cs="Arial"/>
          <w:color w:val="3F3F3F"/>
          <w:sz w:val="27"/>
          <w:szCs w:val="27"/>
          <w:lang w:eastAsia="pt-BR"/>
        </w:rPr>
      </w:pPr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Conhecemos também os </w:t>
      </w:r>
      <w:r w:rsidRPr="00663B19">
        <w:rPr>
          <w:rFonts w:ascii="Arial" w:eastAsia="Times New Roman" w:hAnsi="Arial" w:cs="Arial"/>
          <w:b/>
          <w:bCs/>
          <w:color w:val="3F3F3F"/>
          <w:sz w:val="27"/>
          <w:szCs w:val="27"/>
          <w:lang w:eastAsia="pt-BR"/>
        </w:rPr>
        <w:t>conceitos básicos do 5G</w:t>
      </w:r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 e do seu processo de padronização pela </w:t>
      </w:r>
      <w:r w:rsidRPr="00663B19">
        <w:rPr>
          <w:rFonts w:ascii="Arial" w:eastAsia="Times New Roman" w:hAnsi="Arial" w:cs="Arial"/>
          <w:b/>
          <w:bCs/>
          <w:color w:val="3F3F3F"/>
          <w:sz w:val="27"/>
          <w:szCs w:val="27"/>
          <w:lang w:eastAsia="pt-BR"/>
        </w:rPr>
        <w:t>União Internacional de Telecomunicações (UIT)</w:t>
      </w:r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, que é um órgão de assessoramento técnico à ONU. Entre os requisitos estabelecidos pela UIT, aprendemos que estão os três principais pilares do 5G:</w:t>
      </w:r>
    </w:p>
    <w:p w:rsidR="00663B19" w:rsidRPr="00663B19" w:rsidRDefault="00663B19" w:rsidP="00663B19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7"/>
          <w:szCs w:val="27"/>
          <w:lang w:eastAsia="pt-BR"/>
        </w:rPr>
      </w:pPr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a banda larga móvel aprimorada (</w:t>
      </w:r>
      <w:proofErr w:type="spellStart"/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eMBB</w:t>
      </w:r>
      <w:proofErr w:type="spellEnd"/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);</w:t>
      </w:r>
    </w:p>
    <w:p w:rsidR="00663B19" w:rsidRPr="00663B19" w:rsidRDefault="00663B19" w:rsidP="00663B19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7"/>
          <w:szCs w:val="27"/>
          <w:lang w:eastAsia="pt-BR"/>
        </w:rPr>
      </w:pPr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a comunicação massiva de dispositivos</w:t>
      </w:r>
      <w:bookmarkStart w:id="0" w:name="_GoBack"/>
      <w:bookmarkEnd w:id="0"/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 xml:space="preserve"> (</w:t>
      </w:r>
      <w:proofErr w:type="spellStart"/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mMTC</w:t>
      </w:r>
      <w:proofErr w:type="spellEnd"/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); e</w:t>
      </w:r>
    </w:p>
    <w:p w:rsidR="00663B19" w:rsidRPr="00663B19" w:rsidRDefault="00663B19" w:rsidP="00663B19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7"/>
          <w:szCs w:val="27"/>
          <w:lang w:eastAsia="pt-BR"/>
        </w:rPr>
      </w:pPr>
      <w:r w:rsidRPr="00663B19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a comunicação de altíssima confiabilidade e baixa latência (URLLC).</w:t>
      </w:r>
    </w:p>
    <w:p w:rsidR="00663B19" w:rsidRPr="00BD3F39" w:rsidRDefault="00663B19">
      <w:pPr>
        <w:rPr>
          <w:rFonts w:ascii="Times New Roman" w:hAnsi="Times New Roman" w:cs="Times New Roman"/>
        </w:rPr>
      </w:pPr>
    </w:p>
    <w:sectPr w:rsidR="00663B19" w:rsidRPr="00BD3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0A1B"/>
    <w:multiLevelType w:val="multilevel"/>
    <w:tmpl w:val="C45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94D87"/>
    <w:multiLevelType w:val="multilevel"/>
    <w:tmpl w:val="ED76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87964"/>
    <w:multiLevelType w:val="multilevel"/>
    <w:tmpl w:val="84D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39"/>
    <w:rsid w:val="0027379E"/>
    <w:rsid w:val="005B59C0"/>
    <w:rsid w:val="00663B19"/>
    <w:rsid w:val="009C32F4"/>
    <w:rsid w:val="00A05244"/>
    <w:rsid w:val="00BD3F39"/>
    <w:rsid w:val="00CD467B"/>
    <w:rsid w:val="00D8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1976"/>
  <w15:chartTrackingRefBased/>
  <w15:docId w15:val="{DD2570B1-CE6A-44DE-9CF2-64233B1E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D819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D3F39"/>
    <w:rPr>
      <w:b/>
      <w:bCs/>
    </w:rPr>
  </w:style>
  <w:style w:type="character" w:styleId="nfase">
    <w:name w:val="Emphasis"/>
    <w:basedOn w:val="Fontepargpadro"/>
    <w:uiPriority w:val="20"/>
    <w:qFormat/>
    <w:rsid w:val="00A05244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D8197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543">
              <w:marLeft w:val="0"/>
              <w:marRight w:val="0"/>
              <w:marTop w:val="300"/>
              <w:marBottom w:val="300"/>
              <w:divBdr>
                <w:top w:val="single" w:sz="36" w:space="23" w:color="0B63C8"/>
                <w:left w:val="single" w:sz="36" w:space="23" w:color="0B63C8"/>
                <w:bottom w:val="single" w:sz="36" w:space="23" w:color="0B63C8"/>
                <w:right w:val="single" w:sz="36" w:space="23" w:color="0B63C8"/>
              </w:divBdr>
            </w:div>
          </w:divsChild>
        </w:div>
      </w:divsChild>
    </w:div>
    <w:div w:id="2111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</cp:revision>
  <dcterms:created xsi:type="dcterms:W3CDTF">2023-03-30T14:15:00Z</dcterms:created>
  <dcterms:modified xsi:type="dcterms:W3CDTF">2023-03-31T12:43:00Z</dcterms:modified>
</cp:coreProperties>
</file>