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png" ContentType="image/jpeg"/>
  <Override PartName="/word/media/image40.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54480" cy="906780"/>
            <wp:docPr id="1" name="Picture 1"/>
            <wp:cNvGraphicFramePr>
              <a:graphicFrameLocks noChangeAspect="1"/>
            </wp:cNvGraphicFramePr>
            <a:graphic>
              <a:graphicData uri="http://schemas.openxmlformats.org/drawingml/2006/picture">
                <pic:pic>
                  <pic:nvPicPr>
                    <pic:cNvPr id="0" name="softdocs-logo.png"/>
                    <pic:cNvPicPr/>
                  </pic:nvPicPr>
                  <pic:blipFill>
                    <a:blip r:embed="rId9"/>
                    <a:stretch>
                      <a:fillRect/>
                    </a:stretch>
                  </pic:blipFill>
                  <pic:spPr>
                    <a:xfrm>
                      <a:off x="0" y="0"/>
                      <a:ext cx="1554480" cy="906780"/>
                    </a:xfrm>
                    <a:prstGeom prst="rect"/>
                  </pic:spPr>
                </pic:pic>
              </a:graphicData>
            </a:graphic>
          </wp:inline>
        </w:drawing>
      </w:r>
    </w:p>
    <w:p>
      <w:pPr>
        <w:pStyle w:val="Title"/>
        <w:jc w:val="center"/>
      </w:pPr>
      <w:r>
        <w:t>Manuel utilisateur SoftDocs</w:t>
      </w:r>
    </w:p>
    <w:p>
      <w:pPr>
        <w:pStyle w:val="Subtitle"/>
        <w:jc w:val="center"/>
      </w:pPr>
      <w:r>
        <w:t>Gestion documentaire, validation, rapports et signature SoftSign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600"/>
        <w:gridCol w:w="6760"/>
      </w:tblGrid>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Destinataires</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Utilisateurs finaux, receveurs, validateurs, responsables et administrateurs SoftDocs</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Périmètre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Dépôt, réception, validation, refus, redirection, SoftSign, rapports et paramétrage fonctionnel</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Version</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1.0</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Date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12 juin 2026</w:t>
            </w:r>
          </w:p>
        </w:tc>
      </w:tr>
    </w:tbl>
    <w:p>
      <w:pPr>
        <w:spacing w:after="40"/>
      </w:pPr>
    </w:p>
    <w:p>
      <w:pPr>
        <w:spacing w:before="280"/>
        <w:jc w:val="center"/>
      </w:pPr>
      <w:r>
        <w:rPr>
          <w:rFonts w:ascii="Calibri" w:hAnsi="Calibri" w:eastAsia="Calibri"/>
          <w:i/>
          <w:color w:val="64748B"/>
          <w:sz w:val="20"/>
        </w:rPr>
        <w:t>Documentation fonctionnelle rédigée à partir des écrans SoftDocs</w:t>
      </w:r>
    </w:p>
    <w:p>
      <w:r>
        <w:br w:type="page"/>
      </w:r>
    </w:p>
    <w:p>
      <w:pPr>
        <w:pStyle w:val="Heading1"/>
        <w:keepNext/>
      </w:pPr>
      <w:r>
        <w:t>Table des matières</w:t>
      </w:r>
    </w:p>
    <w:p>
      <w:pPr>
        <w:pStyle w:val="ListBullet"/>
        <w:ind w:left="360"/>
      </w:pPr>
      <w:r>
        <w:rPr>
          <w:rFonts w:ascii="Calibri" w:hAnsi="Calibri" w:eastAsia="Calibri"/>
          <w:b w:val="0"/>
          <w:color w:val="334155"/>
          <w:sz w:val="21"/>
        </w:rPr>
        <w:t>Repères généraux</w:t>
      </w:r>
    </w:p>
    <w:p>
      <w:pPr>
        <w:ind w:left="0"/>
      </w:pPr>
      <w:r>
        <w:rPr>
          <w:rFonts w:ascii="Calibri" w:hAnsi="Calibri" w:eastAsia="Calibri"/>
          <w:b/>
          <w:color w:val="0B2545"/>
          <w:sz w:val="22"/>
        </w:rPr>
        <w:t>Tableau de bord</w:t>
      </w:r>
    </w:p>
    <w:p>
      <w:pPr>
        <w:pStyle w:val="ListBullet"/>
        <w:ind w:left="360"/>
      </w:pPr>
      <w:r>
        <w:rPr>
          <w:rFonts w:ascii="Calibri" w:hAnsi="Calibri" w:eastAsia="Calibri"/>
          <w:b w:val="0"/>
          <w:color w:val="334155"/>
          <w:sz w:val="21"/>
        </w:rPr>
        <w:t>Tableau de bord - Pilotage</w:t>
      </w:r>
    </w:p>
    <w:p>
      <w:pPr>
        <w:pStyle w:val="ListBullet"/>
        <w:ind w:left="360"/>
      </w:pPr>
      <w:r>
        <w:rPr>
          <w:rFonts w:ascii="Calibri" w:hAnsi="Calibri" w:eastAsia="Calibri"/>
          <w:b w:val="0"/>
          <w:color w:val="334155"/>
          <w:sz w:val="21"/>
        </w:rPr>
        <w:t>Tableau de bord - Workflow</w:t>
      </w:r>
    </w:p>
    <w:p>
      <w:pPr>
        <w:pStyle w:val="ListBullet"/>
        <w:ind w:left="360"/>
      </w:pPr>
      <w:r>
        <w:rPr>
          <w:rFonts w:ascii="Calibri" w:hAnsi="Calibri" w:eastAsia="Calibri"/>
          <w:b w:val="0"/>
          <w:color w:val="334155"/>
          <w:sz w:val="21"/>
        </w:rPr>
        <w:t>Tableau de bord - Fournisseurs</w:t>
      </w:r>
    </w:p>
    <w:p>
      <w:pPr>
        <w:pStyle w:val="ListBullet"/>
        <w:ind w:left="360"/>
      </w:pPr>
      <w:r>
        <w:rPr>
          <w:rFonts w:ascii="Calibri" w:hAnsi="Calibri" w:eastAsia="Calibri"/>
          <w:b w:val="0"/>
          <w:color w:val="334155"/>
          <w:sz w:val="21"/>
        </w:rPr>
        <w:t>Tableau de bord - Financier</w:t>
      </w:r>
    </w:p>
    <w:p>
      <w:pPr>
        <w:pStyle w:val="ListBullet"/>
        <w:ind w:left="360"/>
      </w:pPr>
      <w:r>
        <w:rPr>
          <w:rFonts w:ascii="Calibri" w:hAnsi="Calibri" w:eastAsia="Calibri"/>
          <w:b w:val="0"/>
          <w:color w:val="334155"/>
          <w:sz w:val="21"/>
        </w:rPr>
        <w:t>Tableau de bord - Projets</w:t>
      </w:r>
    </w:p>
    <w:p>
      <w:pPr>
        <w:ind w:left="0"/>
      </w:pPr>
      <w:r>
        <w:rPr>
          <w:rFonts w:ascii="Calibri" w:hAnsi="Calibri" w:eastAsia="Calibri"/>
          <w:b/>
          <w:color w:val="0B2545"/>
          <w:sz w:val="22"/>
        </w:rPr>
        <w:t>Déposer un document</w:t>
      </w:r>
    </w:p>
    <w:p>
      <w:pPr>
        <w:pStyle w:val="ListBullet"/>
        <w:ind w:left="360"/>
      </w:pPr>
      <w:r>
        <w:rPr>
          <w:rFonts w:ascii="Calibri" w:hAnsi="Calibri" w:eastAsia="Calibri"/>
          <w:b w:val="0"/>
          <w:color w:val="334155"/>
          <w:sz w:val="21"/>
        </w:rPr>
        <w:t>Étape OCR</w:t>
      </w:r>
    </w:p>
    <w:p>
      <w:pPr>
        <w:pStyle w:val="ListBullet"/>
        <w:ind w:left="360"/>
      </w:pPr>
      <w:r>
        <w:rPr>
          <w:rFonts w:ascii="Calibri" w:hAnsi="Calibri" w:eastAsia="Calibri"/>
          <w:b w:val="0"/>
          <w:color w:val="334155"/>
          <w:sz w:val="21"/>
        </w:rPr>
        <w:t>Étape Informations</w:t>
      </w:r>
    </w:p>
    <w:p>
      <w:pPr>
        <w:pStyle w:val="ListBullet"/>
        <w:ind w:left="360"/>
      </w:pPr>
      <w:r>
        <w:rPr>
          <w:rFonts w:ascii="Calibri" w:hAnsi="Calibri" w:eastAsia="Calibri"/>
          <w:b w:val="0"/>
          <w:color w:val="334155"/>
          <w:sz w:val="21"/>
        </w:rPr>
        <w:t>Étape Annexes</w:t>
      </w:r>
    </w:p>
    <w:p>
      <w:pPr>
        <w:pStyle w:val="ListBullet"/>
        <w:ind w:left="360"/>
      </w:pPr>
      <w:r>
        <w:rPr>
          <w:rFonts w:ascii="Calibri" w:hAnsi="Calibri" w:eastAsia="Calibri"/>
          <w:b w:val="0"/>
          <w:color w:val="334155"/>
          <w:sz w:val="21"/>
        </w:rPr>
        <w:t>Étape Confirmation</w:t>
      </w:r>
    </w:p>
    <w:p>
      <w:pPr>
        <w:ind w:left="0"/>
      </w:pPr>
      <w:r>
        <w:rPr>
          <w:rFonts w:ascii="Calibri" w:hAnsi="Calibri" w:eastAsia="Calibri"/>
          <w:b/>
          <w:color w:val="0B2545"/>
          <w:sz w:val="22"/>
        </w:rPr>
        <w:t>Suivi de réception</w:t>
      </w:r>
    </w:p>
    <w:p>
      <w:pPr>
        <w:pStyle w:val="ListBullet"/>
        <w:ind w:left="360"/>
      </w:pPr>
      <w:r>
        <w:rPr>
          <w:rFonts w:ascii="Calibri" w:hAnsi="Calibri" w:eastAsia="Calibri"/>
          <w:b w:val="0"/>
          <w:color w:val="334155"/>
          <w:sz w:val="21"/>
        </w:rPr>
        <w:t>Recherche d'un document</w:t>
      </w:r>
    </w:p>
    <w:p>
      <w:pPr>
        <w:pStyle w:val="ListBullet"/>
        <w:ind w:left="360"/>
      </w:pPr>
      <w:r>
        <w:rPr>
          <w:rFonts w:ascii="Calibri" w:hAnsi="Calibri" w:eastAsia="Calibri"/>
          <w:b w:val="0"/>
          <w:color w:val="334155"/>
          <w:sz w:val="21"/>
        </w:rPr>
        <w:t>Résultat de recherche</w:t>
      </w:r>
    </w:p>
    <w:p>
      <w:pPr>
        <w:ind w:left="0"/>
      </w:pPr>
      <w:r>
        <w:rPr>
          <w:rFonts w:ascii="Calibri" w:hAnsi="Calibri" w:eastAsia="Calibri"/>
          <w:b/>
          <w:color w:val="0B2545"/>
          <w:sz w:val="22"/>
        </w:rPr>
        <w:t>Listes de documents</w:t>
      </w:r>
    </w:p>
    <w:p>
      <w:pPr>
        <w:pStyle w:val="ListBullet"/>
        <w:ind w:left="360"/>
      </w:pPr>
      <w:r>
        <w:rPr>
          <w:rFonts w:ascii="Calibri" w:hAnsi="Calibri" w:eastAsia="Calibri"/>
          <w:b w:val="0"/>
          <w:color w:val="334155"/>
          <w:sz w:val="21"/>
        </w:rPr>
        <w:t>Liste En cours</w:t>
      </w:r>
    </w:p>
    <w:p>
      <w:pPr>
        <w:pStyle w:val="ListBullet"/>
        <w:ind w:left="360"/>
      </w:pPr>
      <w:r>
        <w:rPr>
          <w:rFonts w:ascii="Calibri" w:hAnsi="Calibri" w:eastAsia="Calibri"/>
          <w:b w:val="0"/>
          <w:color w:val="334155"/>
          <w:sz w:val="21"/>
        </w:rPr>
        <w:t>Liste Envoyés</w:t>
      </w:r>
    </w:p>
    <w:p>
      <w:pPr>
        <w:ind w:left="0"/>
      </w:pPr>
      <w:r>
        <w:rPr>
          <w:rFonts w:ascii="Calibri" w:hAnsi="Calibri" w:eastAsia="Calibri"/>
          <w:b/>
          <w:color w:val="0B2545"/>
          <w:sz w:val="22"/>
        </w:rPr>
        <w:t>Détail d'un document</w:t>
      </w:r>
    </w:p>
    <w:p>
      <w:pPr>
        <w:pStyle w:val="ListBullet"/>
        <w:ind w:left="360"/>
      </w:pPr>
      <w:r>
        <w:rPr>
          <w:rFonts w:ascii="Calibri" w:hAnsi="Calibri" w:eastAsia="Calibri"/>
          <w:b w:val="0"/>
          <w:color w:val="334155"/>
          <w:sz w:val="21"/>
        </w:rPr>
        <w:t>Fiche document - vue générale</w:t>
      </w:r>
    </w:p>
    <w:p>
      <w:pPr>
        <w:pStyle w:val="ListBullet"/>
        <w:ind w:left="360"/>
      </w:pPr>
      <w:r>
        <w:rPr>
          <w:rFonts w:ascii="Calibri" w:hAnsi="Calibri" w:eastAsia="Calibri"/>
          <w:b w:val="0"/>
          <w:color w:val="334155"/>
          <w:sz w:val="21"/>
        </w:rPr>
        <w:t>Onglet OCR</w:t>
      </w:r>
    </w:p>
    <w:p>
      <w:pPr>
        <w:pStyle w:val="ListBullet"/>
        <w:ind w:left="360"/>
      </w:pPr>
      <w:r>
        <w:rPr>
          <w:rFonts w:ascii="Calibri" w:hAnsi="Calibri" w:eastAsia="Calibri"/>
          <w:b w:val="0"/>
          <w:color w:val="334155"/>
          <w:sz w:val="21"/>
        </w:rPr>
        <w:t>Onglet Annexes</w:t>
      </w:r>
    </w:p>
    <w:p>
      <w:pPr>
        <w:pStyle w:val="ListBullet"/>
        <w:ind w:left="360"/>
      </w:pPr>
      <w:r>
        <w:rPr>
          <w:rFonts w:ascii="Calibri" w:hAnsi="Calibri" w:eastAsia="Calibri"/>
          <w:b w:val="0"/>
          <w:color w:val="334155"/>
          <w:sz w:val="21"/>
        </w:rPr>
        <w:t>Onglet Historique</w:t>
      </w:r>
    </w:p>
    <w:p>
      <w:pPr>
        <w:pStyle w:val="ListBullet"/>
        <w:ind w:left="360"/>
      </w:pPr>
      <w:r>
        <w:rPr>
          <w:rFonts w:ascii="Calibri" w:hAnsi="Calibri" w:eastAsia="Calibri"/>
          <w:b w:val="0"/>
          <w:color w:val="334155"/>
          <w:sz w:val="21"/>
        </w:rPr>
        <w:t>Onglet Signature SoftSign</w:t>
      </w:r>
    </w:p>
    <w:p>
      <w:pPr>
        <w:pStyle w:val="ListBullet"/>
        <w:ind w:left="360"/>
      </w:pPr>
      <w:r>
        <w:rPr>
          <w:rFonts w:ascii="Calibri" w:hAnsi="Calibri" w:eastAsia="Calibri"/>
          <w:b w:val="0"/>
          <w:color w:val="334155"/>
          <w:sz w:val="21"/>
        </w:rPr>
        <w:t>Fenêtre de validation</w:t>
      </w:r>
    </w:p>
    <w:p>
      <w:pPr>
        <w:pStyle w:val="ListBullet"/>
        <w:ind w:left="360"/>
      </w:pPr>
      <w:r>
        <w:rPr>
          <w:rFonts w:ascii="Calibri" w:hAnsi="Calibri" w:eastAsia="Calibri"/>
          <w:b w:val="0"/>
          <w:color w:val="334155"/>
          <w:sz w:val="21"/>
        </w:rPr>
        <w:t>Fenêtre de redirection</w:t>
      </w:r>
    </w:p>
    <w:p>
      <w:pPr>
        <w:pStyle w:val="ListBullet"/>
        <w:ind w:left="360"/>
      </w:pPr>
      <w:r>
        <w:rPr>
          <w:rFonts w:ascii="Calibri" w:hAnsi="Calibri" w:eastAsia="Calibri"/>
          <w:b w:val="0"/>
          <w:color w:val="334155"/>
          <w:sz w:val="21"/>
        </w:rPr>
        <w:t>Fenêtre de rejet</w:t>
      </w:r>
    </w:p>
    <w:p>
      <w:pPr>
        <w:pStyle w:val="ListBullet"/>
        <w:ind w:left="360"/>
      </w:pPr>
      <w:r>
        <w:rPr>
          <w:rFonts w:ascii="Calibri" w:hAnsi="Calibri" w:eastAsia="Calibri"/>
          <w:b w:val="0"/>
          <w:color w:val="334155"/>
          <w:sz w:val="21"/>
        </w:rPr>
        <w:t>Assistant d'envoi SoftSign - Paramètres</w:t>
      </w:r>
    </w:p>
    <w:p>
      <w:pPr>
        <w:pStyle w:val="ListBullet"/>
        <w:ind w:left="360"/>
      </w:pPr>
      <w:r>
        <w:rPr>
          <w:rFonts w:ascii="Calibri" w:hAnsi="Calibri" w:eastAsia="Calibri"/>
          <w:b w:val="0"/>
          <w:color w:val="334155"/>
          <w:sz w:val="21"/>
        </w:rPr>
        <w:t>Assistant d'envoi SoftSign - Zones</w:t>
      </w:r>
    </w:p>
    <w:p>
      <w:pPr>
        <w:ind w:left="0"/>
      </w:pPr>
      <w:r>
        <w:rPr>
          <w:rFonts w:ascii="Calibri" w:hAnsi="Calibri" w:eastAsia="Calibri"/>
          <w:b/>
          <w:color w:val="0B2545"/>
          <w:sz w:val="22"/>
        </w:rPr>
        <w:t>Documents SoftSign</w:t>
      </w:r>
    </w:p>
    <w:p>
      <w:pPr>
        <w:pStyle w:val="ListBullet"/>
        <w:ind w:left="360"/>
      </w:pPr>
      <w:r>
        <w:rPr>
          <w:rFonts w:ascii="Calibri" w:hAnsi="Calibri" w:eastAsia="Calibri"/>
          <w:b w:val="0"/>
          <w:color w:val="334155"/>
          <w:sz w:val="21"/>
        </w:rPr>
        <w:t>Objectif de l'écran</w:t>
      </w:r>
    </w:p>
    <w:p>
      <w:pPr>
        <w:pStyle w:val="ListBullet"/>
        <w:ind w:left="360"/>
      </w:pPr>
      <w:r>
        <w:rPr>
          <w:rFonts w:ascii="Calibri" w:hAnsi="Calibri" w:eastAsia="Calibri"/>
          <w:b w:val="0"/>
          <w:color w:val="334155"/>
          <w:sz w:val="21"/>
        </w:rPr>
        <w:t>Zones affichées</w:t>
      </w:r>
    </w:p>
    <w:p>
      <w:pPr>
        <w:pStyle w:val="ListBullet"/>
        <w:ind w:left="360"/>
      </w:pPr>
      <w:r>
        <w:rPr>
          <w:rFonts w:ascii="Calibri" w:hAnsi="Calibri" w:eastAsia="Calibri"/>
          <w:b w:val="0"/>
          <w:color w:val="334155"/>
          <w:sz w:val="21"/>
        </w:rPr>
        <w:t>Actions disponibles</w:t>
      </w:r>
    </w:p>
    <w:p>
      <w:pPr>
        <w:pStyle w:val="ListBullet"/>
        <w:ind w:left="360"/>
      </w:pPr>
      <w:r>
        <w:rPr>
          <w:rFonts w:ascii="Calibri" w:hAnsi="Calibri" w:eastAsia="Calibri"/>
          <w:b w:val="0"/>
          <w:color w:val="334155"/>
          <w:sz w:val="21"/>
        </w:rPr>
        <w:t>Relation avec la fiche document</w:t>
      </w:r>
    </w:p>
    <w:p>
      <w:pPr>
        <w:ind w:left="0"/>
      </w:pPr>
      <w:r>
        <w:rPr>
          <w:rFonts w:ascii="Calibri" w:hAnsi="Calibri" w:eastAsia="Calibri"/>
          <w:b/>
          <w:color w:val="0B2545"/>
          <w:sz w:val="22"/>
        </w:rPr>
        <w:t>États et rapports</w:t>
      </w:r>
    </w:p>
    <w:p>
      <w:pPr>
        <w:pStyle w:val="ListBullet"/>
        <w:ind w:left="360"/>
      </w:pPr>
      <w:r>
        <w:rPr>
          <w:rFonts w:ascii="Calibri" w:hAnsi="Calibri" w:eastAsia="Calibri"/>
          <w:b w:val="0"/>
          <w:color w:val="334155"/>
          <w:sz w:val="21"/>
        </w:rPr>
        <w:t>Rapport Dossiers traités par projet</w:t>
      </w:r>
    </w:p>
    <w:p>
      <w:pPr>
        <w:pStyle w:val="ListBullet"/>
        <w:ind w:left="360"/>
      </w:pPr>
      <w:r>
        <w:rPr>
          <w:rFonts w:ascii="Calibri" w:hAnsi="Calibri" w:eastAsia="Calibri"/>
          <w:b w:val="0"/>
          <w:color w:val="334155"/>
          <w:sz w:val="21"/>
        </w:rPr>
        <w:t>Statistiques et KPIs</w:t>
      </w:r>
    </w:p>
    <w:p>
      <w:pPr>
        <w:ind w:left="0"/>
      </w:pPr>
      <w:r>
        <w:rPr>
          <w:rFonts w:ascii="Calibri" w:hAnsi="Calibri" w:eastAsia="Calibri"/>
          <w:b/>
          <w:color w:val="0B2545"/>
          <w:sz w:val="22"/>
        </w:rPr>
        <w:t>Paramétrage</w:t>
      </w:r>
    </w:p>
    <w:p>
      <w:pPr>
        <w:pStyle w:val="ListBullet"/>
        <w:ind w:left="360"/>
      </w:pPr>
      <w:r>
        <w:rPr>
          <w:rFonts w:ascii="Calibri" w:hAnsi="Calibri" w:eastAsia="Calibri"/>
          <w:b w:val="0"/>
          <w:color w:val="334155"/>
          <w:sz w:val="21"/>
        </w:rPr>
        <w:t>Utilisateurs et droits</w:t>
      </w:r>
    </w:p>
    <w:p>
      <w:pPr>
        <w:pStyle w:val="ListBullet"/>
        <w:ind w:left="360"/>
      </w:pPr>
      <w:r>
        <w:rPr>
          <w:rFonts w:ascii="Calibri" w:hAnsi="Calibri" w:eastAsia="Calibri"/>
          <w:b w:val="0"/>
          <w:color w:val="334155"/>
          <w:sz w:val="21"/>
        </w:rPr>
        <w:t>WorkFlow - Liste des types</w:t>
      </w:r>
    </w:p>
    <w:p>
      <w:pPr>
        <w:pStyle w:val="ListBullet"/>
        <w:ind w:left="360"/>
      </w:pPr>
      <w:r>
        <w:rPr>
          <w:rFonts w:ascii="Calibri" w:hAnsi="Calibri" w:eastAsia="Calibri"/>
          <w:b w:val="0"/>
          <w:color w:val="334155"/>
          <w:sz w:val="21"/>
        </w:rPr>
        <w:t>WorkFlow - Modifier un type</w:t>
      </w:r>
    </w:p>
    <w:p>
      <w:pPr>
        <w:pStyle w:val="ListBullet"/>
        <w:ind w:left="360"/>
      </w:pPr>
      <w:r>
        <w:rPr>
          <w:rFonts w:ascii="Calibri" w:hAnsi="Calibri" w:eastAsia="Calibri"/>
          <w:b w:val="0"/>
          <w:color w:val="334155"/>
          <w:sz w:val="21"/>
        </w:rPr>
        <w:t>WorkFlow - Check-lists</w:t>
      </w:r>
    </w:p>
    <w:p>
      <w:pPr>
        <w:pStyle w:val="ListBullet"/>
        <w:ind w:left="360"/>
      </w:pPr>
      <w:r>
        <w:rPr>
          <w:rFonts w:ascii="Calibri" w:hAnsi="Calibri" w:eastAsia="Calibri"/>
          <w:b w:val="0"/>
          <w:color w:val="334155"/>
          <w:sz w:val="21"/>
        </w:rPr>
        <w:t>Receveurs</w:t>
      </w:r>
    </w:p>
    <w:p>
      <w:pPr>
        <w:pStyle w:val="ListBullet"/>
        <w:ind w:left="360"/>
      </w:pPr>
      <w:r>
        <w:rPr>
          <w:rFonts w:ascii="Calibri" w:hAnsi="Calibri" w:eastAsia="Calibri"/>
          <w:b w:val="0"/>
          <w:color w:val="334155"/>
          <w:sz w:val="21"/>
        </w:rPr>
        <w:t>Champs dynamiques</w:t>
      </w:r>
    </w:p>
    <w:p>
      <w:pPr>
        <w:pStyle w:val="ListBullet"/>
        <w:ind w:left="360"/>
      </w:pPr>
      <w:r>
        <w:rPr>
          <w:rFonts w:ascii="Calibri" w:hAnsi="Calibri" w:eastAsia="Calibri"/>
          <w:b w:val="0"/>
          <w:color w:val="334155"/>
          <w:sz w:val="21"/>
        </w:rPr>
        <w:t>Plan de Comptes</w:t>
      </w:r>
    </w:p>
    <w:p>
      <w:pPr>
        <w:pStyle w:val="ListBullet"/>
        <w:ind w:left="360"/>
      </w:pPr>
      <w:r>
        <w:rPr>
          <w:rFonts w:ascii="Calibri" w:hAnsi="Calibri" w:eastAsia="Calibri"/>
          <w:b w:val="0"/>
          <w:color w:val="334155"/>
          <w:sz w:val="21"/>
        </w:rPr>
        <w:t>Configuration Mail SMTP</w:t>
      </w:r>
    </w:p>
    <w:p>
      <w:pPr>
        <w:pStyle w:val="ListBullet"/>
        <w:ind w:left="360"/>
      </w:pPr>
      <w:r>
        <w:rPr>
          <w:rFonts w:ascii="Calibri" w:hAnsi="Calibri" w:eastAsia="Calibri"/>
          <w:b w:val="0"/>
          <w:color w:val="334155"/>
          <w:sz w:val="21"/>
        </w:rPr>
        <w:t>Gestion Fournisseurs</w:t>
      </w:r>
    </w:p>
    <w:p>
      <w:pPr>
        <w:pStyle w:val="ListBullet"/>
        <w:ind w:left="360"/>
      </w:pPr>
      <w:r>
        <w:rPr>
          <w:rFonts w:ascii="Calibri" w:hAnsi="Calibri" w:eastAsia="Calibri"/>
          <w:b w:val="0"/>
          <w:color w:val="334155"/>
          <w:sz w:val="21"/>
        </w:rPr>
        <w:t>Causes de refus</w:t>
      </w:r>
    </w:p>
    <w:p>
      <w:pPr>
        <w:pStyle w:val="ListBullet"/>
        <w:ind w:left="360"/>
      </w:pPr>
      <w:r>
        <w:rPr>
          <w:rFonts w:ascii="Calibri" w:hAnsi="Calibri" w:eastAsia="Calibri"/>
          <w:b w:val="0"/>
          <w:color w:val="334155"/>
          <w:sz w:val="21"/>
        </w:rPr>
        <w:t>Relance</w:t>
      </w:r>
    </w:p>
    <w:p>
      <w:pPr>
        <w:ind w:left="0"/>
      </w:pPr>
      <w:r>
        <w:rPr>
          <w:rFonts w:ascii="Calibri" w:hAnsi="Calibri" w:eastAsia="Calibri"/>
          <w:b/>
          <w:color w:val="0B2545"/>
          <w:sz w:val="22"/>
        </w:rPr>
        <w:t>Parcours utilisateur complets</w:t>
      </w:r>
    </w:p>
    <w:p>
      <w:pPr>
        <w:pStyle w:val="ListBullet"/>
        <w:ind w:left="360"/>
      </w:pPr>
      <w:r>
        <w:rPr>
          <w:rFonts w:ascii="Calibri" w:hAnsi="Calibri" w:eastAsia="Calibri"/>
          <w:b w:val="0"/>
          <w:color w:val="334155"/>
          <w:sz w:val="21"/>
        </w:rPr>
        <w:t>Parcours 1 - Dépôt puis réception</w:t>
      </w:r>
    </w:p>
    <w:p>
      <w:pPr>
        <w:pStyle w:val="ListBullet"/>
        <w:ind w:left="360"/>
      </w:pPr>
      <w:r>
        <w:rPr>
          <w:rFonts w:ascii="Calibri" w:hAnsi="Calibri" w:eastAsia="Calibri"/>
          <w:b w:val="0"/>
          <w:color w:val="334155"/>
          <w:sz w:val="21"/>
        </w:rPr>
        <w:t>Parcours 2 - Validation standard</w:t>
      </w:r>
    </w:p>
    <w:p>
      <w:pPr>
        <w:pStyle w:val="ListBullet"/>
        <w:ind w:left="360"/>
      </w:pPr>
      <w:r>
        <w:rPr>
          <w:rFonts w:ascii="Calibri" w:hAnsi="Calibri" w:eastAsia="Calibri"/>
          <w:b w:val="0"/>
          <w:color w:val="334155"/>
          <w:sz w:val="21"/>
        </w:rPr>
        <w:t>Parcours 3 - Redirection vers une étape précédente</w:t>
      </w:r>
    </w:p>
    <w:p>
      <w:pPr>
        <w:pStyle w:val="ListBullet"/>
        <w:ind w:left="360"/>
      </w:pPr>
      <w:r>
        <w:rPr>
          <w:rFonts w:ascii="Calibri" w:hAnsi="Calibri" w:eastAsia="Calibri"/>
          <w:b w:val="0"/>
          <w:color w:val="334155"/>
          <w:sz w:val="21"/>
        </w:rPr>
        <w:t>Parcours 4 - Rejet d'un document</w:t>
      </w:r>
    </w:p>
    <w:p>
      <w:pPr>
        <w:pStyle w:val="ListBullet"/>
        <w:ind w:left="360"/>
      </w:pPr>
      <w:r>
        <w:rPr>
          <w:rFonts w:ascii="Calibri" w:hAnsi="Calibri" w:eastAsia="Calibri"/>
          <w:b w:val="0"/>
          <w:color w:val="334155"/>
          <w:sz w:val="21"/>
        </w:rPr>
        <w:t>Parcours 5 - Signature SoftSign</w:t>
      </w:r>
    </w:p>
    <w:p>
      <w:pPr>
        <w:pStyle w:val="ListBullet"/>
        <w:ind w:left="360"/>
      </w:pPr>
      <w:r>
        <w:rPr>
          <w:rFonts w:ascii="Calibri" w:hAnsi="Calibri" w:eastAsia="Calibri"/>
          <w:b w:val="0"/>
          <w:color w:val="334155"/>
          <w:sz w:val="21"/>
        </w:rPr>
        <w:t>Parcours 6 - Relance d'un retard</w:t>
      </w:r>
    </w:p>
    <w:p>
      <w:pPr>
        <w:ind w:left="0"/>
      </w:pPr>
      <w:r>
        <w:rPr>
          <w:rFonts w:ascii="Calibri" w:hAnsi="Calibri" w:eastAsia="Calibri"/>
          <w:b/>
          <w:color w:val="0B2545"/>
          <w:sz w:val="22"/>
        </w:rPr>
        <w:t>Bonnes pratiques utilisateur</w:t>
      </w:r>
    </w:p>
    <w:p>
      <w:pPr>
        <w:ind w:left="0"/>
      </w:pPr>
      <w:r>
        <w:rPr>
          <w:rFonts w:ascii="Calibri" w:hAnsi="Calibri" w:eastAsia="Calibri"/>
          <w:b/>
          <w:color w:val="0B2545"/>
          <w:sz w:val="22"/>
        </w:rPr>
        <w:t>Synthèse des relations importantes</w:t>
      </w:r>
    </w:p>
    <w:p>
      <w:r>
        <w:br w:type="page"/>
      </w:r>
    </w:p>
    <w:p>
      <w:r>
        <w:rPr>
          <w:rFonts w:ascii="Calibri" w:hAnsi="Calibri" w:eastAsia="Calibri"/>
        </w:rPr>
        <w:t>Ce manuel accompagne les utilisateurs finaux dans l'utilisation quotidienne de SoftDocs. Il explique les écrans, les champs, les actions, les statuts et les parcours métier, sans vocabulaire technique.</w:t>
      </w:r>
    </w:p>
    <w:p>
      <w:r>
        <w:rPr>
          <w:rFonts w:ascii="Calibri" w:hAnsi="Calibri" w:eastAsia="Calibri"/>
        </w:rPr>
        <w:t>Le périmètre couvert comprend le dépôt de documents, le suivi de réception, la gestion des listes de documents, le détail d'un document, les validations, les refus, les redirections, l'intégration SoftSign, les états et rapports, ainsi que les principaux paramètres qui influencent le fonctionnement métier.</w:t>
      </w:r>
    </w:p>
    <w:p>
      <w:pPr>
        <w:pStyle w:val="Heading2"/>
        <w:keepNext/>
      </w:pPr>
      <w:r>
        <w:t>Repères généraux</w:t>
      </w:r>
    </w:p>
    <w:p>
      <w:r>
        <w:rPr>
          <w:rFonts w:ascii="Calibri" w:hAnsi="Calibri" w:eastAsia="Calibri"/>
        </w:rPr>
        <w:t>SoftDocs est organisé autour d'un menu latéral, d'une barre supérieure et d'une zone principale de travail.</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Menu latéral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d'accéder aux grands espaces : tableau de bord, dépôt, suivi, documents, rapports et paramétrage. Les menus visibles dépendent des droits de l'utilisateur.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Fil d'Ariane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où l'utilisateur se trouve dans l'application. Il aide à comprendre le chemin parcouru, par exemple Tableau de bord puis Mes Documents puis Envoyés.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Recherche générale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Sert à rechercher rapidement un contenu ou un écran. Elle est utile lorsque l'utilisateur connaît une référence ou un mot-clé.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Profil utilisateur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l'utilisateur connecté et son rôle. Les actions disponibles dépendent de ce rôle et des droits associés.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Langue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visualiser la langue active de l'interface.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Déconnexion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 session de l'utilisateur connecté.</w:t>
            </w:r>
          </w:p>
        </w:tc>
      </w:tr>
    </w:tbl>
    <w:p>
      <w:pPr>
        <w:spacing w:after="40"/>
      </w:pPr>
    </w:p>
    <w:p>
      <w:r>
        <w:rPr>
          <w:rFonts w:ascii="Calibri" w:hAnsi="Calibri" w:eastAsia="Calibri"/>
        </w:rPr>
        <w:t>Les statuts principaux à connaître sont les suivants.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Statut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 pour l'utilisateur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Reçu</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a été déposé mais n'est pas encore entré dans son circuit complet de validation. Il doit être réceptionné ou affecté à un type de document selon le cas.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circule dans les étapes du WorkFlow. Un ou plusieurs validateurs doivent intervenir.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retard</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Une étape de validation a dépassé son délai prévu. Une relance peut être envoyée selon les droits de l'utilisateur et le paramétrage.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circuit de validation est terminé. Le document peut ensuite suivre une étape de paiement ou d'archivage selon le processus.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Rejeté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a été refusé avec au moins une cause de refus et un commentaire.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Payé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a atteint l'état de paiement ou de traitement financier final.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validation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a été envoyé dans SoftSign pour signature. Les actions de validation SoftDocs sont suspendues jusqu'au retour ou rattachement du document signé.</w:t>
            </w:r>
          </w:p>
        </w:tc>
      </w:tr>
    </w:tbl>
    <w:p>
      <w:pPr>
        <w:spacing w:after="40"/>
      </w:pPr>
    </w:p>
    <w:p>
      <w:pPr>
        <w:pStyle w:val="Heading1"/>
        <w:keepNext/>
      </w:pPr>
      <w:r>
        <w:t>Tableau de bord</w:t>
      </w:r>
    </w:p>
    <w:p>
      <w:pPr>
        <w:pStyle w:val="Heading2"/>
        <w:keepNext/>
      </w:pPr>
      <w:r>
        <w:t>Tableau de bord - Pilotage</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1_tableau_bord_pilotage.png"/>
                    <pic:cNvPicPr/>
                  </pic:nvPicPr>
                  <pic:blipFill>
                    <a:blip r:embed="rId1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Tableau de bord Pilotage</w:t>
      </w:r>
    </w:p>
    <w:p>
      <w:pPr>
        <w:pStyle w:val="Heading3"/>
        <w:keepNext/>
      </w:pPr>
      <w:r>
        <w:t>Objectif de l'écran</w:t>
      </w:r>
    </w:p>
    <w:p>
      <w:r>
        <w:rPr>
          <w:rFonts w:ascii="Calibri" w:hAnsi="Calibri" w:eastAsia="Calibri"/>
        </w:rPr>
        <w:t>Le tableau de bord donne une vision synthétique de l'activité documentaire. Il est utilisé par les responsables, gestionnaires, validateurs et administrateurs pour suivre les volumes, les retards et les priorités de traitement.</w:t>
      </w:r>
    </w:p>
    <w:p>
      <w:r>
        <w:rPr>
          <w:rFonts w:ascii="Calibri" w:hAnsi="Calibri" w:eastAsia="Calibri"/>
        </w:rPr>
        <w:t>L'onglet Pilotage sert à comprendre rapidement la situation globale : nombre de documents, évolution, répartition par statut et éléments nécessitant une action.</w:t>
      </w:r>
    </w:p>
    <w:p>
      <w:pPr>
        <w:pStyle w:val="Heading3"/>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Cartes d'indicateurs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Présentent les volumes clés : documents reçus, en validation, en retard, traités ou rejetés. Ces cartes sont uniquement informatives.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Graphiques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Permettent de visualiser les tendances et la répartition de l'activité. Ils aident à repérer les pics, les retards ou les catégories les plus fréquentes.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Listes de documents récents ou prioritaires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Affichent les dossiers à surveiller. Un document peut être ouvert depuis une ligne lorsque l'utilisateur dispose des droits nécessaires.</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Changer d'onglet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passer d'une vue Pilotage à une vue Workflow, Fournisseurs, Financier ou Projets. L'action est toujours disponible si l'utilisateur voit le tableau de bord.</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Ouvrir un document depuis une liste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la fiche détaillée du document. L'action est possible uniquement si l'utilisateur est autorisé à consulter ce document.</w:t>
            </w:r>
          </w:p>
        </w:tc>
      </w:tr>
    </w:tbl>
    <w:p>
      <w:pPr>
        <w:spacing w:after="40"/>
      </w:pPr>
    </w:p>
    <w:p>
      <w:pPr>
        <w:pStyle w:val="Heading2"/>
        <w:keepNext/>
      </w:pPr>
      <w:r>
        <w:t>Tableau de bord - Workflow</w:t>
      </w:r>
    </w:p>
    <w:p>
      <w:pPr>
        <w:keepNext/>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02_tableau_bord_workflow.png"/>
                    <pic:cNvPicPr/>
                  </pic:nvPicPr>
                  <pic:blipFill>
                    <a:blip r:embed="rId1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Tableau de bord WorkFlow</w:t>
      </w:r>
    </w:p>
    <w:p>
      <w:pPr>
        <w:pStyle w:val="Heading3"/>
        <w:keepNext/>
      </w:pPr>
      <w:r>
        <w:t>Objectif de l'écran</w:t>
      </w:r>
    </w:p>
    <w:p>
      <w:r>
        <w:rPr>
          <w:rFonts w:ascii="Calibri" w:hAnsi="Calibri" w:eastAsia="Calibri"/>
        </w:rPr>
        <w:t>Cette vue met l'accent sur les circuits de validation. Elle est utile aux responsables de traitement pour identifier les étapes bloquantes, les documents en attente et les validateurs sollicités.</w:t>
      </w:r>
    </w:p>
    <w:p>
      <w:pPr>
        <w:pStyle w:val="Heading3"/>
        <w:keepNext/>
      </w:pPr>
      <w:r>
        <w:t>Éléments à interpréter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Étapes de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Représentent les niveaux du circuit documentaire : réception, validation métier, validation financière, approbation finale.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Volumes par 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Indiquent combien de documents se trouvent dans chaque étape. Un volume élevé peut signaler une charge ou un blocage.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Retards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Signalent les documents dont l'étape en cours a dépassé son délai prévu. Ces retards alimentent aussi les relances.</w:t>
            </w:r>
          </w:p>
        </w:tc>
      </w:tr>
    </w:tbl>
    <w:p>
      <w:pPr>
        <w:spacing w:after="40"/>
      </w:pPr>
    </w:p>
    <w:p>
      <w:pPr>
        <w:pStyle w:val="Heading3"/>
        <w:keepNext/>
      </w:pPr>
      <w:r>
        <w:t>Relation avec les autres écrans</w:t>
      </w:r>
    </w:p>
    <w:p>
      <w:r>
        <w:rPr>
          <w:rFonts w:ascii="Calibri" w:hAnsi="Calibri" w:eastAsia="Calibri"/>
        </w:rPr>
        <w:t>Les délais, validateurs, check-lists et obligations de signature affichés dans le suivi des documents proviennent du paramétrage WorkFlow. Lorsqu'un type de document est modifié dans WorkFlow, les nouveaux dépôts de ce type suivent cette configuration.</w:t>
      </w:r>
    </w:p>
    <w:p>
      <w:pPr>
        <w:pStyle w:val="Heading2"/>
        <w:keepNext/>
      </w:pPr>
      <w:r>
        <w:t>Tableau de bord - Fournisseurs</w:t>
      </w:r>
    </w:p>
    <w:p>
      <w:pPr>
        <w:keepNext/>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03_tableau_bord_fournisseurs.png"/>
                    <pic:cNvPicPr/>
                  </pic:nvPicPr>
                  <pic:blipFill>
                    <a:blip r:embed="rId1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Tableau de bord Fournisseurs</w:t>
      </w:r>
    </w:p>
    <w:p>
      <w:pPr>
        <w:pStyle w:val="Heading3"/>
        <w:keepNext/>
      </w:pPr>
      <w:r>
        <w:t>Objectif de l'écran</w:t>
      </w:r>
    </w:p>
    <w:p>
      <w:r>
        <w:rPr>
          <w:rFonts w:ascii="Calibri" w:hAnsi="Calibri" w:eastAsia="Calibri"/>
        </w:rPr>
        <w:t>Cette vue aide à suivre l'activité documentaire par fournisseur : volumes reçus, montants, documents traités et éventuels rejets.</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Fournisseurs principaux</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les fournisseurs les plus présents dans les documents.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Montants associés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d'évaluer l'importance financière des dossiers par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Statuts par fournisseur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Aide à repérer les fournisseurs dont les dossiers sont souvent en attente ou refusés.</w:t>
            </w:r>
          </w:p>
        </w:tc>
      </w:tr>
    </w:tbl>
    <w:p>
      <w:pPr>
        <w:spacing w:after="40"/>
      </w:pPr>
    </w:p>
    <w:p>
      <w:pPr>
        <w:pStyle w:val="Heading3"/>
        <w:keepNext/>
      </w:pPr>
      <w:r>
        <w:t>Utilisation métier</w:t>
      </w:r>
    </w:p>
    <w:p>
      <w:r>
        <w:rPr>
          <w:rFonts w:ascii="Calibri" w:hAnsi="Calibri" w:eastAsia="Calibri"/>
        </w:rPr>
        <w:t>Un gestionnaire peut utiliser cette vue pour prioriser les fournisseurs stratégiques, vérifier les documents en retard et préparer les échanges avec les équipes achats ou finance.</w:t>
      </w:r>
    </w:p>
    <w:p>
      <w:pPr>
        <w:pStyle w:val="Heading2"/>
        <w:keepNext/>
      </w:pPr>
      <w:r>
        <w:t>Tableau de bord - Financier</w:t>
      </w:r>
    </w:p>
    <w:p>
      <w:pPr>
        <w:keepNext/>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04_tableau_bord_financier.png"/>
                    <pic:cNvPicPr/>
                  </pic:nvPicPr>
                  <pic:blipFill>
                    <a:blip r:embed="rId1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Tableau de bord Financier</w:t>
      </w:r>
    </w:p>
    <w:p>
      <w:pPr>
        <w:pStyle w:val="Heading3"/>
        <w:keepNext/>
      </w:pPr>
      <w:r>
        <w:t>Objectif de l'écran</w:t>
      </w:r>
    </w:p>
    <w:p>
      <w:r>
        <w:rPr>
          <w:rFonts w:ascii="Calibri" w:hAnsi="Calibri" w:eastAsia="Calibri"/>
        </w:rPr>
        <w:t>L'onglet Financier présente une synthèse des montants liés aux documents : montants en cours de validation, montants traités, montants rejetés ou à payer.</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Montants globaux</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Affichent les totaux financiers de la sélection visible.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Répartition par 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savoir si les montants sont encore en validation, validés ou rejetés.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Tendances financières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Aident à anticiper la charge de paiement ou de contrôle.</w:t>
            </w:r>
          </w:p>
        </w:tc>
      </w:tr>
    </w:tbl>
    <w:p>
      <w:pPr>
        <w:spacing w:after="40"/>
      </w:pPr>
    </w:p>
    <w:p>
      <w:pPr>
        <w:pStyle w:val="Heading3"/>
        <w:keepNext/>
      </w:pPr>
      <w:r>
        <w:t>Relation avec le détail document</w:t>
      </w:r>
    </w:p>
    <w:p>
      <w:r>
        <w:rPr>
          <w:rFonts w:ascii="Calibri" w:hAnsi="Calibri" w:eastAsia="Calibri"/>
        </w:rPr>
        <w:t>Le montant présenté dans le tableau de bord provient des informations du document. Lors de la validation, un utilisateur autorisé peut ajuster le montant réel à payer. Cette correction se répercute ensuite dans les vues financières.</w:t>
      </w:r>
    </w:p>
    <w:p>
      <w:pPr>
        <w:pStyle w:val="Heading2"/>
        <w:keepNext/>
      </w:pPr>
      <w:r>
        <w:t>Tableau de bord - Projets</w:t>
      </w:r>
    </w:p>
    <w:p>
      <w:pPr>
        <w:keepNext/>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05_tableau_bord_projets.png"/>
                    <pic:cNvPicPr/>
                  </pic:nvPicPr>
                  <pic:blipFill>
                    <a:blip r:embed="rId1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Tableau de bord Projets</w:t>
      </w:r>
    </w:p>
    <w:p>
      <w:pPr>
        <w:pStyle w:val="Heading3"/>
        <w:keepNext/>
      </w:pPr>
      <w:r>
        <w:t>Objectif de l'écran</w:t>
      </w:r>
    </w:p>
    <w:p>
      <w:r>
        <w:rPr>
          <w:rFonts w:ascii="Calibri" w:hAnsi="Calibri" w:eastAsia="Calibri"/>
        </w:rPr>
        <w:t>Cette vue permet de suivre les documents par projet et par site. Elle est utilisée par les chefs de projet, ordonnateurs, gestionnaires et responsables financiers.</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Regroupe les documents liés à un programme ou à une convention.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Précise le lieu ou l'entité opérationnelle concernée. La liste des sites dépend du projet sélectionné lors du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 par 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suivre l'engagement financier associé aux documents.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Taux de traitement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la part des documents déjà traités par rapport au total.</w:t>
            </w:r>
          </w:p>
        </w:tc>
      </w:tr>
    </w:tbl>
    <w:p>
      <w:pPr>
        <w:spacing w:after="40"/>
      </w:pPr>
    </w:p>
    <w:p>
      <w:pPr>
        <w:pStyle w:val="Heading1"/>
        <w:keepNext/>
      </w:pPr>
      <w:r>
        <w:t>Déposer un document</w:t>
      </w:r>
    </w:p>
    <w:p>
      <w:r>
        <w:rPr>
          <w:rFonts w:ascii="Calibri" w:hAnsi="Calibri" w:eastAsia="Calibri"/>
        </w:rPr>
        <w:t>Le dépôt se déroule en quatre étapes : OCR, Informations, Annexes puis Confirmation. L'utilisateur avance progressivement et peut revenir en arrière tant que le dépôt n'est pas finalisé.</w:t>
      </w:r>
    </w:p>
    <w:p>
      <w:pPr>
        <w:pStyle w:val="Heading2"/>
        <w:keepNext/>
      </w:pPr>
      <w:r>
        <w:t>Étape OCR</w:t>
      </w:r>
    </w:p>
    <w:p>
      <w:pPr>
        <w:keepNext/>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06_depot_etape_ocr.png"/>
                    <pic:cNvPicPr/>
                  </pic:nvPicPr>
                  <pic:blipFill>
                    <a:blip r:embed="rId15"/>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étape OCR</w:t>
      </w:r>
    </w:p>
    <w:p>
      <w:pPr>
        <w:pStyle w:val="Heading3"/>
        <w:keepNext/>
      </w:pPr>
      <w:r>
        <w:t>Objectif de l'écran</w:t>
      </w:r>
    </w:p>
    <w:p>
      <w:r>
        <w:rPr>
          <w:rFonts w:ascii="Calibri" w:hAnsi="Calibri" w:eastAsia="Calibri"/>
        </w:rPr>
        <w:t>L'étape OCR sert à charger le document principal et, si possible, à préremplir certaines informations à partir de son contenu. Elle intervient au début d'un dépôt de document.</w:t>
      </w:r>
    </w:p>
    <w:p>
      <w:r>
        <w:rPr>
          <w:rFonts w:ascii="Calibri" w:hAnsi="Calibri" w:eastAsia="Calibri"/>
        </w:rPr>
        <w:t>Elle est utilisée par les personnes qui déposent des documents internes ou fournisseurs : gestionnaires, assistants, agents courrier ou utilisateurs habilités.</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Zone de dépôt du fichier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sélectionner ou déposer le document principal. Format attendu : fichier PDF ou image lisible. Le fichier est nécessaire pour un dépôt complet.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Parcourir les fichiers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sélection de fichier. L'utilisateur choisit le document à analyser.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Saisie manuelle sans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continuer sans analyse automatique. Cette option est utile si le fichier n'est pas disponible ou si l'analyse n'est pas nécessaire.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Données extraites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Affichent les informations reconnues : numéro de document, date, émetteur, NIF, IBAN ou RIB, montant HT, TVA et total TTC. Ces informations peuvent être vérifiées avant l'étape suivante.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Score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le niveau de confiance de l'analyse. Un score élevé signifie que les données semblent fiables ; un score faible demande une vérification plus attentive.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Parcourir les fichiers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tant qu'aucun fichier n'est sélectionné ou lorsqu'il faut remplacer le fichier.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Saisie manuelle sans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dès l'entrée dans l'étape. Elle permet de passer directement aux informations sans données préremplies.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Utiliser ces données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après l'analyse d'un fichier. L'action reprend les informations détectées dans l'étape Informations.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Nouveau fichier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recommencer l'analyse avec un autre fichier.</w:t>
            </w:r>
          </w:p>
        </w:tc>
      </w:tr>
    </w:tbl>
    <w:p>
      <w:pPr>
        <w:spacing w:after="40"/>
      </w:pPr>
    </w:p>
    <w:p>
      <w:pPr>
        <w:pStyle w:val="Heading3"/>
        <w:keepNext/>
      </w:pPr>
      <w:r>
        <w:t>Relations avec les autres écrans</w:t>
      </w:r>
    </w:p>
    <w:p>
      <w:r>
        <w:rPr>
          <w:rFonts w:ascii="Calibri" w:hAnsi="Calibri" w:eastAsia="Calibri"/>
        </w:rPr>
        <w:t>Les données extraites sont reprises dans l'étape Informations puis visibles dans l'onglet OCR du détail document. Elles peuvent aussi servir aux rapports financiers et à la recherche.</w:t>
      </w:r>
    </w:p>
    <w:p>
      <w:pPr>
        <w:pStyle w:val="Heading2"/>
        <w:keepNext/>
      </w:pPr>
      <w:r>
        <w:t>Étape Informations</w:t>
      </w:r>
    </w:p>
    <w:p>
      <w:pPr>
        <w:keepNext/>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07_depot_etape_informations.png"/>
                    <pic:cNvPicPr/>
                  </pic:nvPicPr>
                  <pic:blipFill>
                    <a:blip r:embed="rId16"/>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étape Informations</w:t>
      </w:r>
    </w:p>
    <w:p>
      <w:pPr>
        <w:keepNext/>
        <w:jc w:val="center"/>
      </w:pP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08_depot_informations_renseignees.png"/>
                    <pic:cNvPicPr/>
                  </pic:nvPicPr>
                  <pic:blipFill>
                    <a:blip r:embed="rId17"/>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informations renseignées</w:t>
      </w:r>
    </w:p>
    <w:p>
      <w:pPr>
        <w:keepNext/>
        <w:jc w:val="center"/>
      </w:pPr>
      <w:r>
        <w:drawing>
          <wp:inline xmlns:a="http://schemas.openxmlformats.org/drawingml/2006/main" xmlns:pic="http://schemas.openxmlformats.org/drawingml/2006/picture">
            <wp:extent cx="5715000" cy="3214688"/>
            <wp:docPr id="10" name="Picture 10"/>
            <wp:cNvGraphicFramePr>
              <a:graphicFrameLocks noChangeAspect="1"/>
            </wp:cNvGraphicFramePr>
            <a:graphic>
              <a:graphicData uri="http://schemas.openxmlformats.org/drawingml/2006/picture">
                <pic:pic>
                  <pic:nvPicPr>
                    <pic:cNvPr id="0" name="08b_depot_informations_bas.png"/>
                    <pic:cNvPicPr/>
                  </pic:nvPicPr>
                  <pic:blipFill>
                    <a:blip r:embed="rId18"/>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informations bas de page</w:t>
      </w:r>
    </w:p>
    <w:p>
      <w:pPr>
        <w:pStyle w:val="Heading3"/>
        <w:keepNext/>
      </w:pPr>
      <w:r>
        <w:t>Objectif de l'écran</w:t>
      </w:r>
    </w:p>
    <w:p>
      <w:r>
        <w:rPr>
          <w:rFonts w:ascii="Calibri" w:hAnsi="Calibri" w:eastAsia="Calibri"/>
        </w:rPr>
        <w:t>Cette étape sert à compléter les informations métier du document : projet, site, fournisseur, date, montant, confidentialité et champs additionnels.</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Peut être défini immédiatement ou plus tard lors de la réception, selon le parcours. Il détermine le WorkFlow appliqué au document. Si aucun type n'est affecté, le document reste à définir.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Le projet relie le document à un programme ou dossier métier. Il est obligatoire pour continuer.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Le site dépend du projet sélectionné. Il est obligatoire pour continuer. Lorsque le projet change, la liste des sites disponibles est recalculée.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 ou expéditeur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Identifie l'origine du document. La valeur peut provenir de l'OCR ou être saisie manuellement. Elle est importante pour la recherche, le suivi fournisseur et les rapports.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figurant sur le document. Format attendu : date. Elle peut être préremplie par l'OCR.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total du document. Format attendu : valeur numérique en ariary ou devise prévue. Il est utilisé dans les tableaux de bord et les états financiers.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 confidentiel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 à cocher. Lorsqu'elle est cochée, le document est classé dans les espaces confidentiels et visible uniquement par les utilisateurs autorisés.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Champs dynamiques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Champs supplémentaires définis par l'administrateur. Leur format peut être texte, date, liste, case à cocher, choix unique ou fichier. Ils peuvent être obligatoires selon le paramétrage.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Précédent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Retourne à l'étape OCR sans perdre les informations déjà saisies.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Suivant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Passe à l'étape Annexes. Il est actif lorsque les informations obligatoires sont renseignées, notamment le projet et le site.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Interrompt le dépôt. Les informations non enregistrées ne sont pas prises en compte.</w:t>
            </w:r>
          </w:p>
        </w:tc>
      </w:tr>
    </w:tbl>
    <w:p>
      <w:pPr>
        <w:spacing w:after="40"/>
      </w:pPr>
    </w:p>
    <w:p>
      <w:pPr>
        <w:pStyle w:val="Heading3"/>
        <w:keepNext/>
      </w:pPr>
      <w:r>
        <w:t>Relations avec les autres écrans</w:t>
      </w:r>
    </w:p>
    <w:p>
      <w:r>
        <w:rPr>
          <w:rFonts w:ascii="Calibri" w:hAnsi="Calibri" w:eastAsia="Calibri"/>
        </w:rPr>
        <w:t>Le projet et le site déterminent les listes de documents, les rapports et certains droits de consultation. Le type de document détermine les étapes de validation, les check-lists, les validateurs et l'éventuelle obligation de signature SoftSign.</w:t>
      </w:r>
    </w:p>
    <w:p>
      <w:r>
        <w:rPr>
          <w:rFonts w:ascii="Calibri" w:hAnsi="Calibri" w:eastAsia="Calibri"/>
        </w:rPr>
        <w:t>Les champs dynamiques affichés ici sont configurés dans Paramétrage puis Champs dynamiques. Si un champ est marqué comme requis, il devient obligatoire au dépôt.</w:t>
      </w:r>
    </w:p>
    <w:p>
      <w:pPr>
        <w:pStyle w:val="Heading2"/>
        <w:keepNext/>
      </w:pPr>
      <w:r>
        <w:t>Étape Annexes</w:t>
      </w:r>
    </w:p>
    <w:p>
      <w:pPr>
        <w:keepNext/>
        <w:jc w:val="center"/>
      </w:pPr>
      <w:r>
        <w:drawing>
          <wp:inline xmlns:a="http://schemas.openxmlformats.org/drawingml/2006/main" xmlns:pic="http://schemas.openxmlformats.org/drawingml/2006/picture">
            <wp:extent cx="5715000" cy="3214688"/>
            <wp:docPr id="11" name="Picture 11"/>
            <wp:cNvGraphicFramePr>
              <a:graphicFrameLocks noChangeAspect="1"/>
            </wp:cNvGraphicFramePr>
            <a:graphic>
              <a:graphicData uri="http://schemas.openxmlformats.org/drawingml/2006/picture">
                <pic:pic>
                  <pic:nvPicPr>
                    <pic:cNvPr id="0" name="09_depot_etape_annexes.png"/>
                    <pic:cNvPicPr/>
                  </pic:nvPicPr>
                  <pic:blipFill>
                    <a:blip r:embed="rId19"/>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étape Annexes</w:t>
      </w:r>
    </w:p>
    <w:p>
      <w:pPr>
        <w:pStyle w:val="Heading3"/>
        <w:keepNext/>
      </w:pPr>
      <w:r>
        <w:t>Objectif de l'écran</w:t>
      </w:r>
    </w:p>
    <w:p>
      <w:r>
        <w:rPr>
          <w:rFonts w:ascii="Calibri" w:hAnsi="Calibri" w:eastAsia="Calibri"/>
        </w:rPr>
        <w:t>Cette étape permet d'ajouter des pièces complémentaires au document principal : justificatifs, bons de commande, contrats, correspondances ou tout document attendu par le processus.</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annexes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 les pièces déjà ajoutées ou attendues.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Ajout de fichier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joindre une annexe. Format attendu : document lisible, généralement PDF ou image.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 de l'annexe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l'annexe est fournie ou manquante.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Ajouter une annexe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lorsque l'utilisateur peut joindre des fichiers au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 une annexe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une pièce ajoutée avant confirmation.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Précédent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Retourne aux informations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Suivant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Passe à la confirmation.</w:t>
            </w:r>
          </w:p>
        </w:tc>
      </w:tr>
    </w:tbl>
    <w:p>
      <w:pPr>
        <w:spacing w:after="40"/>
      </w:pPr>
    </w:p>
    <w:p>
      <w:pPr>
        <w:pStyle w:val="Heading3"/>
        <w:keepNext/>
      </w:pPr>
      <w:r>
        <w:t>Relation avec le détail document</w:t>
      </w:r>
    </w:p>
    <w:p>
      <w:r>
        <w:rPr>
          <w:rFonts w:ascii="Calibri" w:hAnsi="Calibri" w:eastAsia="Calibri"/>
        </w:rPr>
        <w:t>Les annexes ajoutées au dépôt sont consultables ensuite dans l'onglet Annexes de la fiche détaillée du document.</w:t>
      </w:r>
    </w:p>
    <w:p>
      <w:pPr>
        <w:pStyle w:val="Heading2"/>
        <w:keepNext/>
      </w:pPr>
      <w:r>
        <w:t>Étape Confirmation</w:t>
      </w:r>
    </w:p>
    <w:p>
      <w:pPr>
        <w:keepNext/>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10_depot_etape_confirmation.png"/>
                    <pic:cNvPicPr/>
                  </pic:nvPicPr>
                  <pic:blipFill>
                    <a:blip r:embed="rId2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Dépôt étape Confirmation</w:t>
      </w:r>
    </w:p>
    <w:p>
      <w:pPr>
        <w:pStyle w:val="Heading3"/>
        <w:keepNext/>
      </w:pPr>
      <w:r>
        <w:t>Objectif de l'écran</w:t>
      </w:r>
    </w:p>
    <w:p>
      <w:r>
        <w:rPr>
          <w:rFonts w:ascii="Calibri" w:hAnsi="Calibri" w:eastAsia="Calibri"/>
        </w:rPr>
        <w:t>La confirmation permet de relire le dépôt avant envoi définitif. Elle récapitule les informations principales, le document, les annexes et les données extraites.</w:t>
      </w:r>
    </w:p>
    <w:p>
      <w:pPr>
        <w:pStyle w:val="Heading3"/>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Résumé du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 les informations saisies : projet, site, fournisseur, date, montant et confidentialité.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Données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Rappelle les données détectées ou saisies manuellement.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Annexes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les pièces jointes ajoutées.</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Précédent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corriger les annexes ou les informations avant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Déposer le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Finalise l'envoi. Le document reçoit une référence et entre dans le parcours de réception ou de validation selon son type et son origine.</w:t>
            </w:r>
          </w:p>
        </w:tc>
      </w:tr>
    </w:tbl>
    <w:p>
      <w:pPr>
        <w:spacing w:after="40"/>
      </w:pPr>
    </w:p>
    <w:p>
      <w:pPr>
        <w:pStyle w:val="Heading3"/>
        <w:keepNext/>
      </w:pPr>
      <w:r>
        <w:t>Conséquences du dépôt</w:t>
      </w:r>
    </w:p>
    <w:p>
      <w:r>
        <w:rPr>
          <w:rFonts w:ascii="Calibri" w:hAnsi="Calibri" w:eastAsia="Calibri"/>
        </w:rPr>
        <w:t>Après confirmation, le document apparaît dans les listes adaptées : documents envoyés, documents reçus, documents confidentiels ou documents en attente selon le contexte. Si le type n'est pas encore affecté, un receveur devra le sélectionner avant le lancement complet du circuit.</w:t>
      </w:r>
    </w:p>
    <w:p>
      <w:pPr>
        <w:pStyle w:val="Heading1"/>
        <w:keepNext/>
      </w:pPr>
      <w:r>
        <w:t>Suivi de réception</w:t>
      </w:r>
    </w:p>
    <w:p>
      <w:pPr>
        <w:pStyle w:val="Heading2"/>
        <w:keepNext/>
      </w:pPr>
      <w:r>
        <w:t>Recherche d'un document</w:t>
      </w:r>
    </w:p>
    <w:p>
      <w:pPr>
        <w:keepNext/>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11_suivi_reception_recherche.png"/>
                    <pic:cNvPicPr/>
                  </pic:nvPicPr>
                  <pic:blipFill>
                    <a:blip r:embed="rId2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Suivi réception recherche</w:t>
      </w:r>
    </w:p>
    <w:p>
      <w:pPr>
        <w:pStyle w:val="Heading3"/>
        <w:keepNext/>
      </w:pPr>
      <w:r>
        <w:t>Objectif de l'écran</w:t>
      </w:r>
    </w:p>
    <w:p>
      <w:r>
        <w:rPr>
          <w:rFonts w:ascii="Calibri" w:hAnsi="Calibri" w:eastAsia="Calibri"/>
        </w:rPr>
        <w:t>Le suivi de réception permet de retrouver rapidement un document à partir de sa référence, d'un numéro de facture ou du nom du fournisseur. Il est utilisé par les déposants, les gestionnaires et les personnes qui veulent connaître l'état d'avancement d'un dossier.</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Recherche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 texte. L'utilisateur peut saisir une référence SoftDocs, un numéro de facture ou le nom d'un fournisseur. Le champ est obligatoire pour lancer une recherche ciblée.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Rechercher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Lance la recherche. L'action est utile dès qu'une valeur est saisie.</w:t>
            </w:r>
          </w:p>
        </w:tc>
      </w:tr>
    </w:tbl>
    <w:p>
      <w:pPr>
        <w:spacing w:after="40"/>
      </w:pPr>
    </w:p>
    <w:p>
      <w:pPr>
        <w:pStyle w:val="Heading2"/>
        <w:keepNext/>
      </w:pPr>
      <w:r>
        <w:t>Résultat de recherche</w:t>
      </w:r>
    </w:p>
    <w:p>
      <w:pPr>
        <w:keepNext/>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12_suivi_reception_resultat.png"/>
                    <pic:cNvPicPr/>
                  </pic:nvPicPr>
                  <pic:blipFill>
                    <a:blip r:embed="rId2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Suivi réception résultat</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Carte résultat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la référence, le type de document, l'expéditeur, la date et le statut.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Circuit de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les étapes du parcours et l'étape actuelle.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 le montant associé au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 et 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Indiquent le rattachement métier du dossier.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Score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Rappelle la fiabilité de l'analyse de lecture automatique.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Détail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fiche détaillée du document. L'action dépend des droits de consultation de l'utilisateur.</w:t>
            </w:r>
          </w:p>
        </w:tc>
      </w:tr>
    </w:tbl>
    <w:p>
      <w:pPr>
        <w:spacing w:after="40"/>
      </w:pPr>
    </w:p>
    <w:p>
      <w:pPr>
        <w:pStyle w:val="Heading1"/>
        <w:keepNext/>
      </w:pPr>
      <w:r>
        <w:t>Listes de documents</w:t>
      </w:r>
    </w:p>
    <w:p>
      <w:r>
        <w:rPr>
          <w:rFonts w:ascii="Calibri" w:hAnsi="Calibri" w:eastAsia="Calibri"/>
        </w:rPr>
        <w:t>Les listes de documents regroupent les dossiers selon leur origine, leur statut ou leur niveau de confidentialité.</w:t>
      </w:r>
    </w:p>
    <w:p>
      <w:pPr>
        <w:pStyle w:val="Heading2"/>
        <w:keepNext/>
      </w:pPr>
      <w:r>
        <w:t>Liste En cours</w:t>
      </w:r>
    </w:p>
    <w:p>
      <w:pPr>
        <w:keepNext/>
        <w:jc w:val="center"/>
      </w:pPr>
      <w:r>
        <w:drawing>
          <wp:inline xmlns:a="http://schemas.openxmlformats.org/drawingml/2006/main" xmlns:pic="http://schemas.openxmlformats.org/drawingml/2006/picture">
            <wp:extent cx="5715000" cy="3214688"/>
            <wp:docPr id="15" name="Picture 15"/>
            <wp:cNvGraphicFramePr>
              <a:graphicFrameLocks noChangeAspect="1"/>
            </wp:cNvGraphicFramePr>
            <a:graphic>
              <a:graphicData uri="http://schemas.openxmlformats.org/drawingml/2006/picture">
                <pic:pic>
                  <pic:nvPicPr>
                    <pic:cNvPr id="0" name="13_documents_liste_en_cours.png"/>
                    <pic:cNvPicPr/>
                  </pic:nvPicPr>
                  <pic:blipFill>
                    <a:blip r:embed="rId2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Liste documents en cours</w:t>
      </w:r>
    </w:p>
    <w:p>
      <w:pPr>
        <w:pStyle w:val="Heading2"/>
        <w:keepNext/>
      </w:pPr>
      <w:r>
        <w:t>Liste Envoyés</w:t>
      </w:r>
    </w:p>
    <w:p>
      <w:pPr>
        <w:keepNext/>
        <w:jc w:val="center"/>
      </w:pPr>
      <w:r>
        <w:drawing>
          <wp:inline xmlns:a="http://schemas.openxmlformats.org/drawingml/2006/main" xmlns:pic="http://schemas.openxmlformats.org/drawingml/2006/picture">
            <wp:extent cx="5715000" cy="3214688"/>
            <wp:docPr id="16" name="Picture 16"/>
            <wp:cNvGraphicFramePr>
              <a:graphicFrameLocks noChangeAspect="1"/>
            </wp:cNvGraphicFramePr>
            <a:graphic>
              <a:graphicData uri="http://schemas.openxmlformats.org/drawingml/2006/picture">
                <pic:pic>
                  <pic:nvPicPr>
                    <pic:cNvPr id="0" name="14_documents_liste_envoyes.png"/>
                    <pic:cNvPicPr/>
                  </pic:nvPicPr>
                  <pic:blipFill>
                    <a:blip r:embed="rId2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Liste documents envoyés</w:t>
      </w:r>
    </w:p>
    <w:p>
      <w:pPr>
        <w:pStyle w:val="Heading3"/>
        <w:keepNext/>
      </w:pPr>
      <w:r>
        <w:t>Objectif de l'écran</w:t>
      </w:r>
    </w:p>
    <w:p>
      <w:r>
        <w:rPr>
          <w:rFonts w:ascii="Calibri" w:hAnsi="Calibri" w:eastAsia="Calibri"/>
        </w:rPr>
        <w:t>Les listes permettent de consulter et filtrer les documents selon un contexte : reçus fournisseurs, service courriers, documents confidentiels, reçus, envoyés, en cours, refusés, archivés, communs ou SoftSign.</w:t>
      </w:r>
    </w:p>
    <w:p>
      <w:pPr>
        <w:pStyle w:val="Heading3"/>
        <w:keepNext/>
      </w:pPr>
      <w:r>
        <w:t>Filtres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Recherche par référence, fournisseur ou 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 texte optionnel. Il réduit la liste aux documents correspondant à la saisie.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optionnelle. Elle permet d'afficher un ou plusieurs types de documents.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optionnelle. Elle limite la liste à un état précis, par exemple En validation ou Rejeté.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optionnelle. Elle filtre les documents rattachés à un site.</w:t>
            </w:r>
          </w:p>
        </w:tc>
      </w:tr>
    </w:tbl>
    <w:p>
      <w:pPr>
        <w:spacing w:after="40"/>
      </w:pPr>
    </w:p>
    <w:p>
      <w:pPr>
        <w:pStyle w:val="Heading3"/>
        <w:keepNext/>
      </w:pPr>
      <w:r>
        <w:t>Colonnes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Colonne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unique du document dans SoftDocs.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Type de document affecté, par exemple facture, contrat ou bon de livraison.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Fournisseur ou expéditeur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Site métier associé au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total ou montant réel selon l'avancement.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État actuel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Score de reconnaissance ou indicateur de qualité des données extraites.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du document ou date de dépôt selon la vue.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Excel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la liste affichée dans un fichier exploitable en tableur. L'export respecte les filtres actifs.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PDF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la liste affichée au format PDF.</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Ouvrir une ligne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la fiche détaillée du document. L'action est possible si l'utilisateur a le droit de consulter le dossier.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Réinitialiser ou vider les filtres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Remet la liste dans son état initial lorsque des filtres sont appliqués.</w:t>
            </w:r>
          </w:p>
        </w:tc>
      </w:tr>
    </w:tbl>
    <w:p>
      <w:pPr>
        <w:spacing w:after="40"/>
      </w:pPr>
    </w:p>
    <w:p>
      <w:pPr>
        <w:pStyle w:val="Heading3"/>
        <w:keepNext/>
      </w:pPr>
      <w:r>
        <w:t>Relations entre menus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Menu</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Reçus fournisseurs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arrivés depuis un fournisseur et en attente de traitement de réception.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Service Courriers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internes ou courriers à orienter.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Documents Confidentiels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reçus avec confidentialité active.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Reçu</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réceptionnés ou affectés qui attendent l'intervention de l'utilisateur ou de son groupe.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déposés par l'utilisateur connecté.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en validation auxquels l'utilisateur participe ou qu'il peut suivre.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Refusés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rejetés visibles par l'utilisateur.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Archivés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dont le traitement est terminé.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Documents Communs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finalisés et consultables par les participants autorisés.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Menus Confidentiels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Variantes des menus précédents, limitées aux documents confidentiels.</w:t>
            </w:r>
          </w:p>
        </w:tc>
      </w:tr>
    </w:tbl>
    <w:p>
      <w:pPr>
        <w:spacing w:after="40"/>
      </w:pPr>
    </w:p>
    <w:p>
      <w:pPr>
        <w:pStyle w:val="Heading1"/>
        <w:keepNext/>
      </w:pPr>
      <w:r>
        <w:t>Détail d'un document</w:t>
      </w:r>
    </w:p>
    <w:p>
      <w:pPr>
        <w:pStyle w:val="Heading2"/>
        <w:keepNext/>
      </w:pPr>
      <w:r>
        <w:t>Fiche document - vue générale</w:t>
      </w:r>
    </w:p>
    <w:p>
      <w:pPr>
        <w:keepNext/>
        <w:jc w:val="center"/>
      </w:pPr>
      <w:r>
        <w:drawing>
          <wp:inline xmlns:a="http://schemas.openxmlformats.org/drawingml/2006/main" xmlns:pic="http://schemas.openxmlformats.org/drawingml/2006/picture">
            <wp:extent cx="5715000" cy="3214688"/>
            <wp:docPr id="17" name="Picture 17"/>
            <wp:cNvGraphicFramePr>
              <a:graphicFrameLocks noChangeAspect="1"/>
            </wp:cNvGraphicFramePr>
            <a:graphic>
              <a:graphicData uri="http://schemas.openxmlformats.org/drawingml/2006/picture">
                <pic:pic>
                  <pic:nvPicPr>
                    <pic:cNvPr id="0" name="15_detail_document_apercu.png"/>
                    <pic:cNvPicPr/>
                  </pic:nvPicPr>
                  <pic:blipFill>
                    <a:blip r:embed="rId25"/>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Détail document aperçu</w:t>
      </w:r>
    </w:p>
    <w:p>
      <w:pPr>
        <w:pStyle w:val="Heading3"/>
        <w:keepNext/>
      </w:pPr>
      <w:r>
        <w:t>Objectif de l'écran</w:t>
      </w:r>
    </w:p>
    <w:p>
      <w:r>
        <w:rPr>
          <w:rFonts w:ascii="Calibri" w:hAnsi="Calibri" w:eastAsia="Calibri"/>
        </w:rPr>
        <w:t>La fiche document est l'écran central de SoftDocs. Elle regroupe les informations du dossier, son circuit, ses données OCR, ses annexes, son historique, ses actions de validation et son lien éventuel avec SoftSign.</w:t>
      </w:r>
    </w:p>
    <w:p>
      <w:r>
        <w:rPr>
          <w:rFonts w:ascii="Calibri" w:hAnsi="Calibri" w:eastAsia="Calibri"/>
        </w:rPr>
        <w:t>Elle est utilisée par les receveurs, validateurs, responsables financiers, ordonnateurs, administrateurs et déposants selon leurs droits.</w:t>
      </w:r>
    </w:p>
    <w:p>
      <w:pPr>
        <w:pStyle w:val="Heading3"/>
        <w:keepNext/>
      </w:pPr>
      <w:r>
        <w:t>Zones principales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unique du document. Il permet de suivre le dossier dans les recherches, rapports et échanges.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Badge de 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l'état actuel du document : reçu, en validation, rejeté, validé, payé ou en signature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Informations de synthèse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Affichent le type, le fournisseur, le site et la date.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 réel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retenu pour traitement. Il peut être modifié par les utilisateurs autorisés lors de la validation.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 et 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Rattachement métier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Score OCR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Niveau de confiance des données extraites. Un score faible invite à vérifier les informations.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Onglets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Donnent accès au circuit, à l'OCR, aux annexes, à l'historique, à l'aperçu et à SoftSign.</w:t>
            </w:r>
          </w:p>
        </w:tc>
      </w:tr>
    </w:tbl>
    <w:p>
      <w:pPr>
        <w:spacing w:after="40"/>
      </w:pPr>
    </w:p>
    <w:p>
      <w:pPr>
        <w:pStyle w:val="Heading3"/>
        <w:keepNext/>
      </w:pPr>
      <w:r>
        <w:t>Boutons et actions de l'en-tête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conditions et conséquences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Retour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Revient à l'écran précédent.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fenêtre de validation de l'étape en cours. Le bouton est actif lorsqu'une étape attend une validation et que le document n'est pas rejeté ni verrouillé par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Rediriger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Renvoie le document vers une étape précédente. Disponible lorsque le document se trouve au-delà de la première étape et qu'il n'est pas verrouillé par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Rejeter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fenêtre de refus. Le rejet exige au moins une cause et un commentaire. Une fois confirmé, le document passe au statut Rejeté.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Relancer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lorsqu'une étape est en retard et que l'utilisateur a le droit d'effectuer une relance. L'action ajoute une trace dans l'historique.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Accuser réception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dans les vues de réception lorsque le document reçu n'a pas encore été accusé. L'action confirme que le dossier est pris en charge.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Affecter un type de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après réception lorsque le type n'est pas encore défini. Le choix du type lance le WorkFlow associé.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Bon à payer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pour un document validé lorsque l'utilisateur intervient dans le contexte prévu. L'action marque l'étape de bon à payer.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Copier le lien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Copie le lien de la fiche document afin de le partager à un utilisateur autorisé.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Transférer le lien vers Tom²Pro</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Prépare ou simule le transfert du lien vers l'outil financier.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 pour signature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Lance l'assistant de signature. Fonctionnellement, ce bouton ne doit être actif que lorsque l'étape courante du WorkFlow est marquée Document à signer. Si cette option n'est pas cochée dans WorkFlow, l'envoi vers SoftSign n'est pas attendu à cette étape.</w:t>
            </w:r>
          </w:p>
        </w:tc>
      </w:tr>
    </w:tbl>
    <w:p>
      <w:pPr>
        <w:spacing w:after="40"/>
      </w:pPr>
    </w:p>
    <w:p>
      <w:pPr>
        <w:pStyle w:val="Heading3"/>
        <w:keepNext/>
      </w:pPr>
      <w:r>
        <w:t>Règle importante SoftSign</w:t>
      </w:r>
    </w:p>
    <w:p>
      <w:r>
        <w:rPr>
          <w:rFonts w:ascii="Calibri" w:hAnsi="Calibri" w:eastAsia="Calibri"/>
        </w:rPr>
        <w:t>L'action Envoyer pour signature SoftSign dépend du paramétrage WorkFlow. Dans le type de document, chaque étape peut être marquée Document à signer. Lorsque le document arrive sur une étape marquée ainsi, l'utilisateur autorisé peut envoyer le document vers SoftSign. Après l'envoi, le document est verrouillé dans SoftDocs : les actions Valider, Rediriger, Rejeter et Relancer sont suspendues jusqu'au retour ou rattachement du document signé.</w:t>
      </w:r>
    </w:p>
    <w:p>
      <w:r>
        <w:rPr>
          <w:rFonts w:ascii="Calibri" w:hAnsi="Calibri" w:eastAsia="Calibri"/>
        </w:rPr>
        <w:t>Cette même règle est expliquée dans le chapitre WorkFlow, car elle doit être comprise à la fois par les utilisateurs qui traitent les documents et par les administrateurs qui configurent les circuits.</w:t>
      </w:r>
    </w:p>
    <w:p>
      <w:pPr>
        <w:pStyle w:val="Heading2"/>
        <w:keepNext/>
      </w:pPr>
      <w:r>
        <w:t>Onglet OCR</w:t>
      </w:r>
    </w:p>
    <w:p>
      <w:pPr>
        <w:keepNext/>
        <w:jc w:val="center"/>
      </w:pPr>
      <w:r>
        <w:drawing>
          <wp:inline xmlns:a="http://schemas.openxmlformats.org/drawingml/2006/main" xmlns:pic="http://schemas.openxmlformats.org/drawingml/2006/picture">
            <wp:extent cx="5715000" cy="3214688"/>
            <wp:docPr id="18" name="Picture 18"/>
            <wp:cNvGraphicFramePr>
              <a:graphicFrameLocks noChangeAspect="1"/>
            </wp:cNvGraphicFramePr>
            <a:graphic>
              <a:graphicData uri="http://schemas.openxmlformats.org/drawingml/2006/picture">
                <pic:pic>
                  <pic:nvPicPr>
                    <pic:cNvPr id="0" name="16_detail_document_ocr.png"/>
                    <pic:cNvPicPr/>
                  </pic:nvPicPr>
                  <pic:blipFill>
                    <a:blip r:embed="rId26"/>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Détail document OCR</w:t>
      </w:r>
    </w:p>
    <w:p>
      <w:pPr>
        <w:pStyle w:val="Heading3"/>
        <w:keepNext/>
      </w:pPr>
      <w:r>
        <w:t>Objectif de l'onglet</w:t>
      </w:r>
    </w:p>
    <w:p>
      <w:r>
        <w:rPr>
          <w:rFonts w:ascii="Calibri" w:hAnsi="Calibri" w:eastAsia="Calibri"/>
        </w:rPr>
        <w:t>L'onglet OCR affiche les informations lues ou saisies au moment du dépôt. Il sert à vérifier rapidement les données du document sans rouvrir le fichier principal.</w:t>
      </w:r>
    </w:p>
    <w:p>
      <w:pPr>
        <w:pStyle w:val="Heading3"/>
        <w:keepNext/>
      </w:pPr>
      <w:r>
        <w:t>Champs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Numéro doc</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Numéro figurant sur le document, par exemple numéro de facture ou bon de livraison. Format : texte ou numéro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 doc</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mentionnée sur le document. Format : date.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Émetteur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Fournisseur ou entité qui a émis le document. Format : texte.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NIF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Numéro d'identification fiscale. Format : texte ou numéro selon les règles de l'organisation.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IBAN ou RIB</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Coordonnées bancaires lues sur le document. Format : texte structuré.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HT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hors taxes. Format : montant.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TVA</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de taxe. Format : montant.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Total TTC</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total toutes taxes comprises. Format : montant.</w:t>
            </w:r>
          </w:p>
        </w:tc>
      </w:tr>
    </w:tbl>
    <w:p>
      <w:pPr>
        <w:spacing w:after="40"/>
      </w:pPr>
    </w:p>
    <w:p>
      <w:pPr>
        <w:pStyle w:val="Heading3"/>
        <w:keepNext/>
      </w:pPr>
      <w:r>
        <w:t>Relations avec les autres écrans</w:t>
      </w:r>
    </w:p>
    <w:p>
      <w:r>
        <w:rPr>
          <w:rFonts w:ascii="Calibri" w:hAnsi="Calibri" w:eastAsia="Calibri"/>
        </w:rPr>
        <w:t>Ces informations peuvent provenir de l'étape OCR du dépôt. Elles alimentent aussi les recherches, la fiche détail, les tableaux de bord et les états financiers.</w:t>
      </w:r>
    </w:p>
    <w:p>
      <w:pPr>
        <w:pStyle w:val="Heading2"/>
        <w:keepNext/>
      </w:pPr>
      <w:r>
        <w:t>Onglet Annexes</w:t>
      </w:r>
    </w:p>
    <w:p>
      <w:pPr>
        <w:keepNext/>
        <w:jc w:val="center"/>
      </w:pPr>
      <w:r>
        <w:drawing>
          <wp:inline xmlns:a="http://schemas.openxmlformats.org/drawingml/2006/main" xmlns:pic="http://schemas.openxmlformats.org/drawingml/2006/picture">
            <wp:extent cx="5715000" cy="3214688"/>
            <wp:docPr id="19" name="Picture 19"/>
            <wp:cNvGraphicFramePr>
              <a:graphicFrameLocks noChangeAspect="1"/>
            </wp:cNvGraphicFramePr>
            <a:graphic>
              <a:graphicData uri="http://schemas.openxmlformats.org/drawingml/2006/picture">
                <pic:pic>
                  <pic:nvPicPr>
                    <pic:cNvPr id="0" name="17_detail_document_annexes.png"/>
                    <pic:cNvPicPr/>
                  </pic:nvPicPr>
                  <pic:blipFill>
                    <a:blip r:embed="rId27"/>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Détail document Annexes</w:t>
      </w:r>
    </w:p>
    <w:p>
      <w:pPr>
        <w:pStyle w:val="Heading3"/>
        <w:keepNext/>
      </w:pPr>
      <w:r>
        <w:t>Objectif de l'onglet</w:t>
      </w:r>
    </w:p>
    <w:p>
      <w:r>
        <w:rPr>
          <w:rFonts w:ascii="Calibri" w:hAnsi="Calibri" w:eastAsia="Calibri"/>
        </w:rPr>
        <w:t>L'onglet Annexes présente les pièces jointes associées au document. Il permet de vérifier si les justificatifs nécessaires sont disponibles.</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annexes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les fichiers complémentaires liés au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 Fourni ou Manquant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l'annexe attendue est disponible.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Voir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l'annexe si elle est consultable.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Télécharger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Télécharge l'annexe pour consultation hors de l'application.</w:t>
            </w:r>
          </w:p>
        </w:tc>
      </w:tr>
    </w:tbl>
    <w:p>
      <w:pPr>
        <w:spacing w:after="40"/>
      </w:pPr>
    </w:p>
    <w:p>
      <w:pPr>
        <w:pStyle w:val="Heading3"/>
        <w:keepNext/>
      </w:pPr>
      <w:r>
        <w:t>Cas sans annexe</w:t>
      </w:r>
    </w:p>
    <w:p>
      <w:r>
        <w:rPr>
          <w:rFonts w:ascii="Calibri" w:hAnsi="Calibri" w:eastAsia="Calibri"/>
        </w:rPr>
        <w:t>Si aucune annexe n'a été jointe, l'écran indique qu'aucune annexe n'est disponible. Cela ne bloque pas nécessairement le traitement, sauf si une règle métier ou une check-list impose une pièce justificative.</w:t>
      </w:r>
    </w:p>
    <w:p>
      <w:pPr>
        <w:pStyle w:val="Heading2"/>
        <w:keepNext/>
      </w:pPr>
      <w:r>
        <w:t>Onglet Historique</w:t>
      </w:r>
    </w:p>
    <w:p>
      <w:pPr>
        <w:keepNext/>
        <w:jc w:val="center"/>
      </w:pPr>
      <w:r>
        <w:drawing>
          <wp:inline xmlns:a="http://schemas.openxmlformats.org/drawingml/2006/main" xmlns:pic="http://schemas.openxmlformats.org/drawingml/2006/picture">
            <wp:extent cx="5715000" cy="3214688"/>
            <wp:docPr id="20" name="Picture 20"/>
            <wp:cNvGraphicFramePr>
              <a:graphicFrameLocks noChangeAspect="1"/>
            </wp:cNvGraphicFramePr>
            <a:graphic>
              <a:graphicData uri="http://schemas.openxmlformats.org/drawingml/2006/picture">
                <pic:pic>
                  <pic:nvPicPr>
                    <pic:cNvPr id="0" name="18_detail_document_historique.png"/>
                    <pic:cNvPicPr/>
                  </pic:nvPicPr>
                  <pic:blipFill>
                    <a:blip r:embed="rId28"/>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Détail document Historique</w:t>
      </w:r>
    </w:p>
    <w:p>
      <w:pPr>
        <w:pStyle w:val="Heading3"/>
        <w:keepNext/>
      </w:pPr>
      <w:r>
        <w:t>Objectif de l'onglet</w:t>
      </w:r>
    </w:p>
    <w:p>
      <w:r>
        <w:rPr>
          <w:rFonts w:ascii="Calibri" w:hAnsi="Calibri" w:eastAsia="Calibri"/>
        </w:rPr>
        <w:t>L'historique conserve la trace des étapes, des validateurs, des dates, des commentaires, des check-lists et des relances. Il sert à justifier le traitement d'un document.</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étapes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toutes les étapes prévues dans le circuit.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validateurs circuit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les profils ou personnes prévus dans chaque 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validateurs potentiels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les personnes autorisées à traiter une 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la personne qui a effectivement validé.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 de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à laquelle l'étape a été traitée.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Commentaire de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Commentaire saisi lors de la validation.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Check-list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Résultat des points de contrôle de l'étape.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Relances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les relances envoyées pour retard, lorsqu'il y en a.</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Exporter PDF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Produit une version PDF de l'historique affiché.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Exporter Excel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Produit une version tableur de l'historique.</w:t>
            </w:r>
          </w:p>
        </w:tc>
      </w:tr>
    </w:tbl>
    <w:p>
      <w:pPr>
        <w:spacing w:after="40"/>
      </w:pPr>
    </w:p>
    <w:p>
      <w:pPr>
        <w:pStyle w:val="Heading2"/>
        <w:keepNext/>
      </w:pPr>
      <w:r>
        <w:t>Onglet Signature SoftSign</w:t>
      </w:r>
    </w:p>
    <w:p>
      <w:pPr>
        <w:keepNext/>
        <w:jc w:val="center"/>
      </w:pPr>
      <w:r>
        <w:drawing>
          <wp:inline xmlns:a="http://schemas.openxmlformats.org/drawingml/2006/main" xmlns:pic="http://schemas.openxmlformats.org/drawingml/2006/picture">
            <wp:extent cx="5715000" cy="3214688"/>
            <wp:docPr id="21" name="Picture 21"/>
            <wp:cNvGraphicFramePr>
              <a:graphicFrameLocks noChangeAspect="1"/>
            </wp:cNvGraphicFramePr>
            <a:graphic>
              <a:graphicData uri="http://schemas.openxmlformats.org/drawingml/2006/picture">
                <pic:pic>
                  <pic:nvPicPr>
                    <pic:cNvPr id="0" name="19_detail_document_softsign.png"/>
                    <pic:cNvPicPr/>
                  </pic:nvPicPr>
                  <pic:blipFill>
                    <a:blip r:embed="rId29"/>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Détail document Signature SoftSign</w:t>
      </w:r>
    </w:p>
    <w:p>
      <w:pPr>
        <w:pStyle w:val="Heading3"/>
        <w:keepNext/>
      </w:pPr>
      <w:r>
        <w:t>Objectif de l'onglet</w:t>
      </w:r>
    </w:p>
    <w:p>
      <w:r>
        <w:rPr>
          <w:rFonts w:ascii="Calibri" w:hAnsi="Calibri" w:eastAsia="Calibri"/>
        </w:rPr>
        <w:t>Cet onglet sert à rechercher, rattacher ou envoyer un document vers SoftSign pour signature électronique. Il est utilisé lorsque le processus métier exige une signature.</w:t>
      </w:r>
    </w:p>
    <w:p>
      <w:pPr>
        <w:pStyle w:val="Heading3"/>
        <w:keepNext/>
      </w:pPr>
      <w:r>
        <w:t>Filtres de recherche SoftSign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les documents SoftSign par référence.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Titre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par nom ou titre du document signé.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par nature de document SoftSign : devis, contrat, avenant, rapport, protocole, bon de commande, facture ou autre.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les documents signés par projet.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par site.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selon le circuit SoftSign utilisé.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par dernier signataire ou intervenant.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 début et date fin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Délimitent la période de signature. Format : dates.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par montant. Format : valeur numérique. Optionnel.</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conditions et conséquences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Masquer ou afficher les filtres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Réduit ou affiche la zone de recherche.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Réinitialiser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Efface les filtres de recherche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Actualiser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Recharge la liste des documents disponibles côté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Rattacher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Lie un document signé existant au dossier SoftDocs. L'action est disponible lorsqu'un document signé est sélectionnable.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 pour signature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l'assistant d'envoi vers SoftSign. L'action doit être réservée aux étapes WorkFlow marquées Document à signer.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Sélectionne la nature du document envoyé vers SoftSign. Obligatoire pour un envoi.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Lancer le workflow suggéré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 optionnelle. Si elle est cochée, SoftDocs propose le circuit SoftSign adapté au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Lance l'envoi vers SoftSign lorsque les informations obligatoires sont renseignées. Après envoi, le document est verrouillé côté SoftDocs jusqu'au retour de la signature.</w:t>
            </w:r>
          </w:p>
        </w:tc>
      </w:tr>
    </w:tbl>
    <w:p>
      <w:pPr>
        <w:spacing w:after="40"/>
      </w:pPr>
    </w:p>
    <w:p>
      <w:pPr>
        <w:pStyle w:val="Heading2"/>
        <w:keepNext/>
      </w:pPr>
      <w:r>
        <w:t>Fenêtre de validation</w:t>
      </w:r>
    </w:p>
    <w:p>
      <w:pPr>
        <w:keepNext/>
        <w:jc w:val="center"/>
      </w:pPr>
      <w:r>
        <w:drawing>
          <wp:inline xmlns:a="http://schemas.openxmlformats.org/drawingml/2006/main" xmlns:pic="http://schemas.openxmlformats.org/drawingml/2006/picture">
            <wp:extent cx="5715000" cy="3214688"/>
            <wp:docPr id="22" name="Picture 22"/>
            <wp:cNvGraphicFramePr>
              <a:graphicFrameLocks noChangeAspect="1"/>
            </wp:cNvGraphicFramePr>
            <a:graphic>
              <a:graphicData uri="http://schemas.openxmlformats.org/drawingml/2006/picture">
                <pic:pic>
                  <pic:nvPicPr>
                    <pic:cNvPr id="0" name="20_modal_validation.png"/>
                    <pic:cNvPicPr/>
                  </pic:nvPicPr>
                  <pic:blipFill>
                    <a:blip r:embed="rId3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Fenêtre Validation</w:t>
      </w:r>
    </w:p>
    <w:p>
      <w:pPr>
        <w:pStyle w:val="Heading3"/>
        <w:keepNext/>
      </w:pPr>
      <w:r>
        <w:t>Objectif de la fenêtre</w:t>
      </w:r>
    </w:p>
    <w:p>
      <w:r>
        <w:rPr>
          <w:rFonts w:ascii="Calibri" w:hAnsi="Calibri" w:eastAsia="Calibri"/>
        </w:rPr>
        <w:t>La fenêtre de validation permet de traiter l'étape en cours du WorkFlow. Elle est utilisée par le validateur désigné ou autorisé.</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 réel à payer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Montant retenu par le validateur. Format : montant. Il peut être obligatoire selon la politique interne. Il influence les tableaux financiers.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Plan de compte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avec recherche. Permet d'associer le document à un compte comptable. Les valeurs proviennent du paramétrage Plan de Comptes.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Activité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 texte optionnel permettant de préciser l'activité ou l'imputation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Commentaire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 texte optionnel ou recommandé selon les pratiques. Il apparaît ensuite dans l'historique.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 à</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des validateurs de l'étape suivante. Lorsque l'étape suivante existe, le choix des personnes détermine qui pourra traiter la suite.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Check-lists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Points de contrôle définis dans le WorkFlow. Réponse attendue : Oui, Non ou Non applicable. Elles documentent la décision du validateur.</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conséquences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 fenêtre sans valider.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Valide l'étape. Si une étape suivante existe, le document lui est transmis. Si toutes les étapes sont terminées, le document devient validé.</w:t>
            </w:r>
          </w:p>
        </w:tc>
      </w:tr>
    </w:tbl>
    <w:p>
      <w:pPr>
        <w:spacing w:after="40"/>
      </w:pPr>
    </w:p>
    <w:p>
      <w:pPr>
        <w:pStyle w:val="Heading3"/>
        <w:keepNext/>
      </w:pPr>
      <w:r>
        <w:t>Relations avec les autres écrans</w:t>
      </w:r>
    </w:p>
    <w:p>
      <w:r>
        <w:rPr>
          <w:rFonts w:ascii="Calibri" w:hAnsi="Calibri" w:eastAsia="Calibri"/>
        </w:rPr>
        <w:t>Les check-lists affichées viennent du paramétrage WorkFlow. Les comptes disponibles viennent du Plan de Comptes. Le commentaire, le validateur et les réponses de check-list alimentent l'onglet Historique.</w:t>
      </w:r>
    </w:p>
    <w:p>
      <w:pPr>
        <w:pStyle w:val="Heading2"/>
        <w:keepNext/>
      </w:pPr>
      <w:r>
        <w:t>Fenêtre de redirection</w:t>
      </w:r>
    </w:p>
    <w:p>
      <w:pPr>
        <w:keepNext/>
        <w:jc w:val="center"/>
      </w:pPr>
      <w:r>
        <w:drawing>
          <wp:inline xmlns:a="http://schemas.openxmlformats.org/drawingml/2006/main" xmlns:pic="http://schemas.openxmlformats.org/drawingml/2006/picture">
            <wp:extent cx="5715000" cy="3214688"/>
            <wp:docPr id="23" name="Picture 23"/>
            <wp:cNvGraphicFramePr>
              <a:graphicFrameLocks noChangeAspect="1"/>
            </wp:cNvGraphicFramePr>
            <a:graphic>
              <a:graphicData uri="http://schemas.openxmlformats.org/drawingml/2006/picture">
                <pic:pic>
                  <pic:nvPicPr>
                    <pic:cNvPr id="0" name="21_modal_redirection.png"/>
                    <pic:cNvPicPr/>
                  </pic:nvPicPr>
                  <pic:blipFill>
                    <a:blip r:embed="rId3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Fenêtre Redirection</w:t>
      </w:r>
    </w:p>
    <w:p>
      <w:pPr>
        <w:pStyle w:val="Heading3"/>
        <w:keepNext/>
      </w:pPr>
      <w:r>
        <w:t>Objectif de la fenêtre</w:t>
      </w:r>
    </w:p>
    <w:p>
      <w:r>
        <w:rPr>
          <w:rFonts w:ascii="Calibri" w:hAnsi="Calibri" w:eastAsia="Calibri"/>
        </w:rPr>
        <w:t>La redirection sert à renvoyer un document vers une étape précédente lorsqu'une correction ou un contrôle complémentaire est nécessaire.</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de retour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Choix obligatoire. L'utilisateur sélectionne l'étape précédente à laquelle le document doit revenir.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Validateurs autorisés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Choix obligatoire. Permet de désigner les personnes qui pourront reprendre l'étape de retour.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Motif de la redirection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Commentaire obligatoire. Il explique pourquoi le document est renvoyé en arrière.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 fenêtre sans changement.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Rediriger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lorsque l'étape de retour, au moins un validateur et le motif sont renseignés. Le document revient à l'étape choisie et l'historique conserve la redirection.</w:t>
            </w:r>
          </w:p>
        </w:tc>
      </w:tr>
    </w:tbl>
    <w:p>
      <w:pPr>
        <w:spacing w:after="40"/>
      </w:pPr>
    </w:p>
    <w:p>
      <w:pPr>
        <w:pStyle w:val="Heading2"/>
        <w:keepNext/>
      </w:pPr>
      <w:r>
        <w:t>Fenêtre de rejet</w:t>
      </w:r>
    </w:p>
    <w:p>
      <w:pPr>
        <w:keepNext/>
        <w:jc w:val="center"/>
      </w:pPr>
      <w:r>
        <w:drawing>
          <wp:inline xmlns:a="http://schemas.openxmlformats.org/drawingml/2006/main" xmlns:pic="http://schemas.openxmlformats.org/drawingml/2006/picture">
            <wp:extent cx="5715000" cy="3214688"/>
            <wp:docPr id="24" name="Picture 24"/>
            <wp:cNvGraphicFramePr>
              <a:graphicFrameLocks noChangeAspect="1"/>
            </wp:cNvGraphicFramePr>
            <a:graphic>
              <a:graphicData uri="http://schemas.openxmlformats.org/drawingml/2006/picture">
                <pic:pic>
                  <pic:nvPicPr>
                    <pic:cNvPr id="0" name="22_modal_rejet.png"/>
                    <pic:cNvPicPr/>
                  </pic:nvPicPr>
                  <pic:blipFill>
                    <a:blip r:embed="rId3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Fenêtre Rejet</w:t>
      </w:r>
    </w:p>
    <w:p>
      <w:pPr>
        <w:pStyle w:val="Heading3"/>
        <w:keepNext/>
      </w:pPr>
      <w:r>
        <w:t>Objectif de la fenêtre</w:t>
      </w:r>
    </w:p>
    <w:p>
      <w:r>
        <w:rPr>
          <w:rFonts w:ascii="Calibri" w:hAnsi="Calibri" w:eastAsia="Calibri"/>
        </w:rPr>
        <w:t>La fenêtre de rejet permet de refuser un document de manière justifiée. Elle est utilisée lorsqu'un document n'est pas conforme ou ne doit pas continuer son circuit.</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Cause(s) de refus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Choix obligatoire. L'utilisateur sélectionne une ou plusieurs causes prédéfinies. Les causes disponibles proviennent du paramétrage Causes de refus.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Commentaire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Champ texte obligatoire. Il détaille le motif du refus pour permettre le suivi et la compréhension du rejet.</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 fenêtre sans rejet.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Continuer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Disponible lorsque la cause et le commentaire sont renseignés. L'utilisateur doit ensuite confirmer le rejet.</w:t>
            </w:r>
          </w:p>
        </w:tc>
      </w:tr>
    </w:tbl>
    <w:p>
      <w:pPr>
        <w:spacing w:after="40"/>
      </w:pPr>
    </w:p>
    <w:p>
      <w:pPr>
        <w:pStyle w:val="Heading3"/>
        <w:keepNext/>
      </w:pPr>
      <w:r>
        <w:t>Conséquences</w:t>
      </w:r>
    </w:p>
    <w:p>
      <w:r>
        <w:rPr>
          <w:rFonts w:ascii="Calibri" w:hAnsi="Calibri" w:eastAsia="Calibri"/>
        </w:rPr>
        <w:t>Après confirmation, le document passe au statut Rejeté. Le rejet est présenté comme irréversible dans le parcours normal. Le document apparaît dans les listes de documents refusés et dans les rapports de rejet.</w:t>
      </w:r>
    </w:p>
    <w:p>
      <w:pPr>
        <w:pStyle w:val="Heading2"/>
        <w:keepNext/>
      </w:pPr>
      <w:r>
        <w:t>Assistant d'envoi SoftSign - Paramètres</w:t>
      </w:r>
    </w:p>
    <w:p>
      <w:pPr>
        <w:keepNext/>
        <w:jc w:val="center"/>
      </w:pPr>
      <w:r>
        <w:drawing>
          <wp:inline xmlns:a="http://schemas.openxmlformats.org/drawingml/2006/main" xmlns:pic="http://schemas.openxmlformats.org/drawingml/2006/picture">
            <wp:extent cx="5715000" cy="3214688"/>
            <wp:docPr id="25" name="Picture 25"/>
            <wp:cNvGraphicFramePr>
              <a:graphicFrameLocks noChangeAspect="1"/>
            </wp:cNvGraphicFramePr>
            <a:graphic>
              <a:graphicData uri="http://schemas.openxmlformats.org/drawingml/2006/picture">
                <pic:pic>
                  <pic:nvPicPr>
                    <pic:cNvPr id="0" name="23_assistant_softsign_parametres.png"/>
                    <pic:cNvPicPr/>
                  </pic:nvPicPr>
                  <pic:blipFill>
                    <a:blip r:embed="rId3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Assistant SoftSign paramètres</w:t>
      </w:r>
    </w:p>
    <w:p>
      <w:pPr>
        <w:pStyle w:val="Heading3"/>
        <w:keepNext/>
      </w:pPr>
      <w:r>
        <w:t>Objectif de l'écran</w:t>
      </w:r>
    </w:p>
    <w:p>
      <w:r>
        <w:rPr>
          <w:rFonts w:ascii="Calibri" w:hAnsi="Calibri" w:eastAsia="Calibri"/>
        </w:rPr>
        <w:t>L'assistant prépare l'envoi du document vers SoftSign pour signature électronique. Il reprend les informations du document SoftDocs et demande les paramètres nécessaires à la signature.</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 de l'identifiant ou numéro métier du document. Non modifiable dans l'assistant.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 du projet associé. Non modifiable ici.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 du site associé. Non modifiable ici.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Montant réel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 du montant retenu. Non modifiable ici.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Expéditeur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Rappel du fournisseur ou émetteur. Non modifiable ici.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de document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obligatoire. Elle détermine la nature du document signé côté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 choix obligatoire. Les workflows affichés dépendent du type SoftSign sélectionné.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Aperçu du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Prévisualise le document et les zones de signature proposées.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Afficher les zones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visualiser les emplacements de signature ou de paraphe.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l'assistant sans envoi.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Suivant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Passe à la configuration des zones lorsque les choix obligatoires sont renseignés.</w:t>
            </w:r>
          </w:p>
        </w:tc>
      </w:tr>
    </w:tbl>
    <w:p>
      <w:pPr>
        <w:spacing w:after="40"/>
      </w:pPr>
    </w:p>
    <w:p>
      <w:pPr>
        <w:pStyle w:val="Heading2"/>
        <w:keepNext/>
      </w:pPr>
      <w:r>
        <w:t>Assistant d'envoi SoftSign - Zones</w:t>
      </w:r>
    </w:p>
    <w:p>
      <w:pPr>
        <w:keepNext/>
        <w:jc w:val="center"/>
      </w:pPr>
      <w:r>
        <w:drawing>
          <wp:inline xmlns:a="http://schemas.openxmlformats.org/drawingml/2006/main" xmlns:pic="http://schemas.openxmlformats.org/drawingml/2006/picture">
            <wp:extent cx="5715000" cy="3214688"/>
            <wp:docPr id="26" name="Picture 26"/>
            <wp:cNvGraphicFramePr>
              <a:graphicFrameLocks noChangeAspect="1"/>
            </wp:cNvGraphicFramePr>
            <a:graphic>
              <a:graphicData uri="http://schemas.openxmlformats.org/drawingml/2006/picture">
                <pic:pic>
                  <pic:nvPicPr>
                    <pic:cNvPr id="0" name="24_assistant_softsign_zones.png"/>
                    <pic:cNvPicPr/>
                  </pic:nvPicPr>
                  <pic:blipFill>
                    <a:blip r:embed="rId3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Assistant SoftSign zones</w:t>
      </w:r>
    </w:p>
    <w:p>
      <w:pPr>
        <w:pStyle w:val="Heading3"/>
        <w:keepNext/>
      </w:pPr>
      <w:r>
        <w:t>Objectif de l'écran</w:t>
      </w:r>
    </w:p>
    <w:p>
      <w:r>
        <w:rPr>
          <w:rFonts w:ascii="Calibri" w:hAnsi="Calibri" w:eastAsia="Calibri"/>
        </w:rPr>
        <w:t>Cette étape permet de vérifier et ajuster les zones de signature ou de paraphe avant l'envoi.</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Zone configurée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Représente une signature, un paraphe ou un contrôle attendu.</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Personne ou rôle qui doit intervenir sur la zone.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Page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Choix de portée : toutes les pages, première page, dernière page ou page spécifique.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Position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Emplacement de la zone : bas gauche, bas droite, bas centre, haut droite ou position personnalisée.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Aperçu du positionnement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 document avec les zones prévues.</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Précédent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Retourne aux paramètres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Suivant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Passe à la prévisualisation ou à la confirmation selon l'étape.</w:t>
            </w:r>
          </w:p>
        </w:tc>
      </w:tr>
    </w:tbl>
    <w:p>
      <w:pPr>
        <w:spacing w:after="40"/>
      </w:pPr>
    </w:p>
    <w:p>
      <w:pPr>
        <w:pStyle w:val="Heading3"/>
        <w:keepNext/>
      </w:pPr>
      <w:r>
        <w:t>Conséquence de l'envoi final</w:t>
      </w:r>
    </w:p>
    <w:p>
      <w:r>
        <w:rPr>
          <w:rFonts w:ascii="Calibri" w:hAnsi="Calibri" w:eastAsia="Calibri"/>
        </w:rPr>
        <w:t>Lorsque l'utilisateur confirme la génération dans SoftSign, le document SoftDocs est verrouillé. Tant que la signature n'est pas terminée ou rattachée, les actions de validation SoftDocs ne doivent pas être utilisées.</w:t>
      </w:r>
    </w:p>
    <w:p>
      <w:pPr>
        <w:pStyle w:val="Heading1"/>
        <w:keepNext/>
      </w:pPr>
      <w:r>
        <w:t>Documents SoftSign</w:t>
      </w:r>
    </w:p>
    <w:p>
      <w:pPr>
        <w:keepNext/>
        <w:jc w:val="center"/>
      </w:pPr>
      <w:r>
        <w:drawing>
          <wp:inline xmlns:a="http://schemas.openxmlformats.org/drawingml/2006/main" xmlns:pic="http://schemas.openxmlformats.org/drawingml/2006/picture">
            <wp:extent cx="5715000" cy="3214688"/>
            <wp:docPr id="27" name="Picture 27"/>
            <wp:cNvGraphicFramePr>
              <a:graphicFrameLocks noChangeAspect="1"/>
            </wp:cNvGraphicFramePr>
            <a:graphic>
              <a:graphicData uri="http://schemas.openxmlformats.org/drawingml/2006/picture">
                <pic:pic>
                  <pic:nvPicPr>
                    <pic:cNvPr id="0" name="38_documents_softsign.png"/>
                    <pic:cNvPicPr/>
                  </pic:nvPicPr>
                  <pic:blipFill>
                    <a:blip r:embed="rId35"/>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Documents SoftSign</w:t>
      </w:r>
    </w:p>
    <w:p>
      <w:pPr>
        <w:pStyle w:val="Heading2"/>
        <w:keepNext/>
      </w:pPr>
      <w:r>
        <w:t>Objectif de l'écran</w:t>
      </w:r>
    </w:p>
    <w:p>
      <w:r>
        <w:rPr>
          <w:rFonts w:ascii="Calibri" w:hAnsi="Calibri" w:eastAsia="Calibri"/>
        </w:rPr>
        <w:t>L'écran Documents SoftSign présente les documents déposés via l'espace SoftSign et pouvant être importés ou rattachés à SoftDocs. Il sert de passerelle entre la signature électronique et la gestion documentaire.</w:t>
      </w:r>
    </w:p>
    <w:p>
      <w:pPr>
        <w:pStyle w:val="Heading2"/>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Total documents déposés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total de documents disponibles depuis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attente d'import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SoftSign qui ne sont pas encore repris dans SoftDocs.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Importés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déjà intégrés ou rattachés.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Filtres par 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Permettent de visualiser tous les documents ou uniquement certaines catégories.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documents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les informations disponibles : type, document, déposant, date, statut SoftSign, statut SoftDocs et action.</w:t>
            </w:r>
          </w:p>
        </w:tc>
      </w:tr>
    </w:tbl>
    <w:p>
      <w:pPr>
        <w:spacing w:after="40"/>
      </w:pPr>
    </w:p>
    <w:p>
      <w:pPr>
        <w:pStyle w:val="Heading2"/>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conséquences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Actualiser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Recharge la liste des documents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Importer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l'assistant d'import lorsque des documents sont disponibles. L'import crée ou complète un dossier SoftDocs.</w:t>
            </w:r>
          </w:p>
        </w:tc>
      </w:tr>
    </w:tbl>
    <w:p>
      <w:pPr>
        <w:spacing w:after="40"/>
      </w:pPr>
    </w:p>
    <w:p>
      <w:pPr>
        <w:pStyle w:val="Heading2"/>
        <w:keepNext/>
      </w:pPr>
      <w:r>
        <w:t>Relation avec la fiche document</w:t>
      </w:r>
    </w:p>
    <w:p>
      <w:r>
        <w:rPr>
          <w:rFonts w:ascii="Calibri" w:hAnsi="Calibri" w:eastAsia="Calibri"/>
        </w:rPr>
        <w:t>Un document signé peut être rattaché depuis l'onglet Signature SoftSign de la fiche document. Inversement, un document envoyé depuis la fiche document apparaît dans le suivi SoftSign avec son statut de signature.</w:t>
      </w:r>
    </w:p>
    <w:p>
      <w:pPr>
        <w:pStyle w:val="Heading1"/>
        <w:keepNext/>
      </w:pPr>
      <w:r>
        <w:t>États et rapports</w:t>
      </w:r>
    </w:p>
    <w:p>
      <w:pPr>
        <w:pStyle w:val="Heading2"/>
        <w:keepNext/>
      </w:pPr>
      <w:r>
        <w:t>Rapport Dossiers traités par projet</w:t>
      </w:r>
    </w:p>
    <w:p>
      <w:pPr>
        <w:keepNext/>
        <w:jc w:val="center"/>
      </w:pPr>
      <w:r>
        <w:drawing>
          <wp:inline xmlns:a="http://schemas.openxmlformats.org/drawingml/2006/main" xmlns:pic="http://schemas.openxmlformats.org/drawingml/2006/picture">
            <wp:extent cx="5715000" cy="3214688"/>
            <wp:docPr id="28" name="Picture 28"/>
            <wp:cNvGraphicFramePr>
              <a:graphicFrameLocks noChangeAspect="1"/>
            </wp:cNvGraphicFramePr>
            <a:graphic>
              <a:graphicData uri="http://schemas.openxmlformats.org/drawingml/2006/picture">
                <pic:pic>
                  <pic:nvPicPr>
                    <pic:cNvPr id="0" name="36_etats_dossiers_par_projet.png"/>
                    <pic:cNvPicPr/>
                  </pic:nvPicPr>
                  <pic:blipFill>
                    <a:blip r:embed="rId36"/>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États dossiers par projet</w:t>
      </w:r>
    </w:p>
    <w:p>
      <w:pPr>
        <w:pStyle w:val="Heading3"/>
        <w:keepNext/>
      </w:pPr>
      <w:r>
        <w:t>Objectif de l'écran</w:t>
      </w:r>
    </w:p>
    <w:p>
      <w:r>
        <w:rPr>
          <w:rFonts w:ascii="Calibri" w:hAnsi="Calibri" w:eastAsia="Calibri"/>
        </w:rPr>
        <w:t>Les états et rapports servent à analyser l'activité documentaire et financière. Ils sont utilisés par les responsables, contrôleurs, administrateurs et équipes de suivi.</w:t>
      </w:r>
    </w:p>
    <w:p>
      <w:pPr>
        <w:pStyle w:val="Heading3"/>
        <w:keepNext/>
      </w:pPr>
      <w:r>
        <w:t>Filtres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Filtre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Limite le rapport à un projet.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Limite le rapport à un site.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expéditeur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Sépare les documents fournisseurs et internes.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selon l'utilisateur impliqué dans la validation.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Période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de début et date de fin. Format : dates. Optionnel.</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conséquences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Excel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le rapport avec les filtres actifs.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PDF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Produit une version imprimable du rapport.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Reset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Supprime les filtres pour revenir à la vue complète.</w:t>
            </w:r>
          </w:p>
        </w:tc>
      </w:tr>
    </w:tbl>
    <w:p>
      <w:pPr>
        <w:spacing w:after="40"/>
      </w:pPr>
    </w:p>
    <w:p>
      <w:pPr>
        <w:pStyle w:val="Heading3"/>
        <w:keepNext/>
      </w:pPr>
      <w:r>
        <w:t>Rapports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Rapport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Utilisation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Dossiers traités par 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Mesurer le volume et le taux de traitement par projet.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Historique des documents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Suivre les étapes et actions réalisées sur les documents.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instance par validateur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Identifier les validateurs ayant des documents à traiter.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Dossiers en instance par personne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Voir les dossiers bloqués par 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Dossiers en instance par date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Analyser l'ancienneté des documents en attente.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Délai moyen de traitement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Mesurer les délais sur les documents archivés ou terminés.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Détail traitement - dossiers archivés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Examiner les documents clôturés.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Dossiers en retard par validateur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Suivre les retards et préparer les relances.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Nombre de dossiers rejetés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Mesurer les refus par période ou catégorie.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dossiers refusés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Consulter le détail des documents rejetés.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Documents validés par utilisateur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Mesurer les validations réalisées par personne.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Situation financière par projets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Suivre les montants par projet.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Situation financière par fournisseurs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Suivre les montants par fournisseur.</w:t>
            </w:r>
          </w:p>
        </w:tc>
      </w:tr>
    </w:tbl>
    <w:p>
      <w:pPr>
        <w:spacing w:after="40"/>
      </w:pPr>
    </w:p>
    <w:p>
      <w:pPr>
        <w:pStyle w:val="Heading2"/>
        <w:keepNext/>
      </w:pPr>
      <w:r>
        <w:t>Statistiques et KPIs</w:t>
      </w:r>
    </w:p>
    <w:p>
      <w:pPr>
        <w:keepNext/>
        <w:jc w:val="center"/>
      </w:pPr>
      <w:r>
        <w:drawing>
          <wp:inline xmlns:a="http://schemas.openxmlformats.org/drawingml/2006/main" xmlns:pic="http://schemas.openxmlformats.org/drawingml/2006/picture">
            <wp:extent cx="5715000" cy="3214688"/>
            <wp:docPr id="29" name="Picture 29"/>
            <wp:cNvGraphicFramePr>
              <a:graphicFrameLocks noChangeAspect="1"/>
            </wp:cNvGraphicFramePr>
            <a:graphic>
              <a:graphicData uri="http://schemas.openxmlformats.org/drawingml/2006/picture">
                <pic:pic>
                  <pic:nvPicPr>
                    <pic:cNvPr id="0" name="37_stats_kpis.png"/>
                    <pic:cNvPicPr/>
                  </pic:nvPicPr>
                  <pic:blipFill>
                    <a:blip r:embed="rId37"/>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Stats et KPIs</w:t>
      </w:r>
    </w:p>
    <w:p>
      <w:pPr>
        <w:pStyle w:val="Heading3"/>
        <w:keepNext/>
      </w:pPr>
      <w:r>
        <w:t>Objectif de l'écran</w:t>
      </w:r>
    </w:p>
    <w:p>
      <w:r>
        <w:rPr>
          <w:rFonts w:ascii="Calibri" w:hAnsi="Calibri" w:eastAsia="Calibri"/>
        </w:rPr>
        <w:t>Les statistiques et KPIs donnent une vision consolidée de la sélection courante : volumes, montants, statuts, retards, documents récents et répartition par critères.</w:t>
      </w:r>
    </w:p>
    <w:p>
      <w:pPr>
        <w:pStyle w:val="Heading3"/>
        <w:keepNext/>
      </w:pPr>
      <w:r>
        <w:t>Onglets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Onglet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Utilisation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Vue d'ensemble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Synthèse générale : total, en attente, en retard, traités, rejetés et montants.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Analyse par projet.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Analyse de la charge et des actions par validateur.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Répartition des documents par site.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instance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Vue des documents encore à traiter.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retard</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Vue des documents qui ont dépassé leur délai.</w:t>
            </w:r>
          </w:p>
        </w:tc>
      </w:tr>
    </w:tbl>
    <w:p>
      <w:pPr>
        <w:spacing w:after="40"/>
      </w:pPr>
    </w:p>
    <w:p>
      <w:pPr>
        <w:pStyle w:val="Heading3"/>
        <w:keepNext/>
      </w:pPr>
      <w:r>
        <w:t>Relation avec les autres écrans</w:t>
      </w:r>
    </w:p>
    <w:p>
      <w:r>
        <w:rPr>
          <w:rFonts w:ascii="Calibri" w:hAnsi="Calibri" w:eastAsia="Calibri"/>
        </w:rPr>
        <w:t>Les indicateurs s'appuient sur les statuts, les montants, les projets, les sites, les validateurs et les dates des documents. Une action réalisée dans le détail document peut donc modifier les statistiques.</w:t>
      </w:r>
    </w:p>
    <w:p>
      <w:pPr>
        <w:pStyle w:val="Heading1"/>
        <w:keepNext/>
      </w:pPr>
      <w:r>
        <w:t>Paramétrage</w:t>
      </w:r>
    </w:p>
    <w:p>
      <w:r>
        <w:rPr>
          <w:rFonts w:ascii="Calibri" w:hAnsi="Calibri" w:eastAsia="Calibri"/>
        </w:rPr>
        <w:t>Les écrans de paramétrage sont généralement réservés aux administrateurs ou aux utilisateurs habilités. Ils influencent directement ce que les utilisateurs voient et ce qu'ils peuvent faire dans les écrans métier.</w:t>
      </w:r>
    </w:p>
    <w:p>
      <w:pPr>
        <w:pStyle w:val="Heading2"/>
        <w:keepNext/>
      </w:pPr>
      <w:r>
        <w:t>Utilisateurs et droits</w:t>
      </w:r>
    </w:p>
    <w:p>
      <w:pPr>
        <w:keepNext/>
        <w:jc w:val="center"/>
      </w:pPr>
      <w:r>
        <w:drawing>
          <wp:inline xmlns:a="http://schemas.openxmlformats.org/drawingml/2006/main" xmlns:pic="http://schemas.openxmlformats.org/drawingml/2006/picture">
            <wp:extent cx="5715000" cy="3214688"/>
            <wp:docPr id="30" name="Picture 30"/>
            <wp:cNvGraphicFramePr>
              <a:graphicFrameLocks noChangeAspect="1"/>
            </wp:cNvGraphicFramePr>
            <a:graphic>
              <a:graphicData uri="http://schemas.openxmlformats.org/drawingml/2006/picture">
                <pic:pic>
                  <pic:nvPicPr>
                    <pic:cNvPr id="0" name="28_param_utilisateurs.png"/>
                    <pic:cNvPicPr/>
                  </pic:nvPicPr>
                  <pic:blipFill>
                    <a:blip r:embed="rId38"/>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Paramétrage utilisateurs</w:t>
      </w:r>
    </w:p>
    <w:p>
      <w:pPr>
        <w:pStyle w:val="Heading3"/>
        <w:keepNext/>
      </w:pPr>
      <w:r>
        <w:t>Objectif de l'écran</w:t>
      </w:r>
    </w:p>
    <w:p>
      <w:r>
        <w:rPr>
          <w:rFonts w:ascii="Calibri" w:hAnsi="Calibri" w:eastAsia="Calibri"/>
        </w:rPr>
        <w:t>Cet écran permet de gérer les utilisateurs et leurs accès. Il détermine qui peut se connecter, quelles applications sont accessibles et quels rôles sont attribués.</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Liste des utilisateurs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 les utilisateurs, leur adresse, leurs accès et leur 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Indicateurs SoftDocs et E-paiement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Montrent les applications auxquelles l'utilisateur a accès.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Rôle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l'utilisateur est standard, administrateur ou super administrateur.</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Nouvel utilisateur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Crée un utilisateur. Disponible aux administrateurs autorisés.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fiche de l'utilisateur pour mettre à jour ses informations ou droits.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 ou désactiver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ou bloque un accès selon les règles de l'organisation.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Filtres Tous, SoftDocs, E-paiement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Filtrent la liste selon l'application.</w:t>
            </w:r>
          </w:p>
        </w:tc>
      </w:tr>
    </w:tbl>
    <w:p>
      <w:pPr>
        <w:spacing w:after="40"/>
      </w:pPr>
    </w:p>
    <w:p>
      <w:pPr>
        <w:pStyle w:val="Heading3"/>
        <w:keepNext/>
      </w:pPr>
      <w:r>
        <w:t>Relation avec les autres écrans</w:t>
      </w:r>
    </w:p>
    <w:p>
      <w:r>
        <w:rPr>
          <w:rFonts w:ascii="Calibri" w:hAnsi="Calibri" w:eastAsia="Calibri"/>
        </w:rPr>
        <w:t>Les droits déterminent l'accès aux menus, aux listes, aux actions de validation, aux exports et au paramétrage.</w:t>
      </w:r>
    </w:p>
    <w:p>
      <w:pPr>
        <w:pStyle w:val="Heading2"/>
        <w:keepNext/>
      </w:pPr>
      <w:r>
        <w:t>WorkFlow - Liste des types</w:t>
      </w:r>
    </w:p>
    <w:p>
      <w:pPr>
        <w:keepNext/>
        <w:jc w:val="center"/>
      </w:pPr>
      <w:r>
        <w:drawing>
          <wp:inline xmlns:a="http://schemas.openxmlformats.org/drawingml/2006/main" xmlns:pic="http://schemas.openxmlformats.org/drawingml/2006/picture">
            <wp:extent cx="5715000" cy="3214688"/>
            <wp:docPr id="31" name="Picture 31"/>
            <wp:cNvGraphicFramePr>
              <a:graphicFrameLocks noChangeAspect="1"/>
            </wp:cNvGraphicFramePr>
            <a:graphic>
              <a:graphicData uri="http://schemas.openxmlformats.org/drawingml/2006/picture">
                <pic:pic>
                  <pic:nvPicPr>
                    <pic:cNvPr id="0" name="25_workflow_liste_types.png"/>
                    <pic:cNvPicPr/>
                  </pic:nvPicPr>
                  <pic:blipFill>
                    <a:blip r:embed="rId39"/>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WorkFlow liste types</w:t>
      </w:r>
    </w:p>
    <w:p>
      <w:pPr>
        <w:pStyle w:val="Heading3"/>
        <w:keepNext/>
      </w:pPr>
      <w:r>
        <w:t>Objectif de l'écran</w:t>
      </w:r>
    </w:p>
    <w:p>
      <w:r>
        <w:rPr>
          <w:rFonts w:ascii="Calibri" w:hAnsi="Calibri" w:eastAsia="Calibri"/>
        </w:rPr>
        <w:t>L'écran WorkFlow définit les types de documents et leurs circuits de traitement. Il est central : il détermine les étapes, les délais, les validateurs, les check-lists et les obligations de signature.</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Carte type de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Représente un type, par exemple Facture, Bon de livraison, Contrat ou Rapport.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Code du 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interne du type de document. L'utilisateur le voit comme repère.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Nombre d'étapes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combien d'étapes composent le circuit.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Présentent l'ordre du traitement, les délais et le nombre de check-lists.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Badge Confidentiel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Signale que le type est traité dans les espaces confidentiels.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Projets autorisés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Projets dans lesquels le type peut être utilisé.</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Nouveau 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Crée un nouveau type de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le paramétrage d'un type existant.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Export Excel ou PDF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la liste des types et leurs informations principales.</w:t>
            </w:r>
          </w:p>
        </w:tc>
      </w:tr>
    </w:tbl>
    <w:p>
      <w:pPr>
        <w:spacing w:after="40"/>
      </w:pPr>
    </w:p>
    <w:p>
      <w:pPr>
        <w:pStyle w:val="Heading2"/>
        <w:keepNext/>
      </w:pPr>
      <w:r>
        <w:t>WorkFlow - Modifier un type</w:t>
      </w:r>
    </w:p>
    <w:p>
      <w:pPr>
        <w:keepNext/>
        <w:jc w:val="center"/>
      </w:pPr>
      <w:r>
        <w:drawing>
          <wp:inline xmlns:a="http://schemas.openxmlformats.org/drawingml/2006/main" xmlns:pic="http://schemas.openxmlformats.org/drawingml/2006/picture">
            <wp:extent cx="5715000" cy="3214688"/>
            <wp:docPr id="32" name="Picture 32"/>
            <wp:cNvGraphicFramePr>
              <a:graphicFrameLocks noChangeAspect="1"/>
            </wp:cNvGraphicFramePr>
            <a:graphic>
              <a:graphicData uri="http://schemas.openxmlformats.org/drawingml/2006/picture">
                <pic:pic>
                  <pic:nvPicPr>
                    <pic:cNvPr id="0" name="26_workflow_modal_type.png"/>
                    <pic:cNvPicPr/>
                  </pic:nvPicPr>
                  <pic:blipFill>
                    <a:blip r:embed="rId40"/>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WorkFlow modifier type</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fonctionnel du type de document. Format : texte. Obligatoire.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 confidentiel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 à cocher. Si elle est cochée, les documents de ce type suivent les menus et droits confidentiels.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Projets autorisés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Cases à cocher. Elles déterminent dans quels projets ce type peut être utilisé. Au moins un projet est généralement attendu.</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Sites autorisés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Cases à cocher. Elles restreignent les sites possibles pour ce type.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Étapes de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ordonnée des étapes du circuit. Chaque étape correspond à un niveau de traitement.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 de l'étape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Texte obligatoire pour identifier l'étape, par exemple Réception et Contrôle.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Durée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d'heures prévu pour traiter l'étape. Format : nombre. Cette durée sert à détecter les retards.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Phase rattachée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Choix fonctionnel : dépôt, réception, en cours de validation ou validé bon à payer. Elle indique à quel moment du processus l'étape intervient.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des personnes autorisées ou désignées pour traiter l'étape.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 à signer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 à cocher. Si elle est cochée, cette étape exige un rattachement ou un envoi SoftSign. C'est cette option qui rend l'action Envoyer pour signature SoftSign pertinente dans la fiche document.</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Ajouter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une étape au circuit.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Checklists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liste des contrôles à réaliser dans l'étape.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 une 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l'étape du circuit si le type est en modification.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sans enregistrer les changements.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Sauvegarde le type, ses projets, sites, étapes, validateurs et règles de signature.</w:t>
            </w:r>
          </w:p>
        </w:tc>
      </w:tr>
    </w:tbl>
    <w:p>
      <w:pPr>
        <w:spacing w:after="40"/>
      </w:pPr>
    </w:p>
    <w:p>
      <w:pPr>
        <w:pStyle w:val="Heading3"/>
        <w:keepNext/>
      </w:pPr>
      <w:r>
        <w:t>Règle SoftSign à retenir</w:t>
      </w:r>
    </w:p>
    <w:p>
      <w:r>
        <w:rPr>
          <w:rFonts w:ascii="Calibri" w:hAnsi="Calibri" w:eastAsia="Calibri"/>
        </w:rPr>
        <w:t>La case Document à signer est la règle qui relie WorkFlow et SoftSign. Lorsqu'elle est cochée sur une étape, le validateur qui traite cette étape doit pouvoir envoyer le document en signature ou rattacher un document signé. Lorsqu'elle n'est pas cochée, l'étape suit le traitement SoftDocs classique sans obligation de signature électronique.</w:t>
      </w:r>
    </w:p>
    <w:p>
      <w:r>
        <w:rPr>
          <w:rFonts w:ascii="Calibri" w:hAnsi="Calibri" w:eastAsia="Calibri"/>
        </w:rPr>
        <w:t>Dans la fiche document, le bouton Envoyer pour signature SoftSign doit donc être compris comme une action conditionnée par cette case. Après l'envoi vers SoftSign, le document est verrouillé et les actions de validation SoftDocs attendent le retour de la signature.</w:t>
      </w:r>
    </w:p>
    <w:p>
      <w:pPr>
        <w:pStyle w:val="Heading2"/>
        <w:keepNext/>
      </w:pPr>
      <w:r>
        <w:t>WorkFlow - Check-lists</w:t>
      </w:r>
    </w:p>
    <w:p>
      <w:pPr>
        <w:keepNext/>
        <w:jc w:val="center"/>
      </w:pPr>
      <w:r>
        <w:drawing>
          <wp:inline xmlns:a="http://schemas.openxmlformats.org/drawingml/2006/main" xmlns:pic="http://schemas.openxmlformats.org/drawingml/2006/picture">
            <wp:extent cx="5715000" cy="3214688"/>
            <wp:docPr id="33" name="Picture 33"/>
            <wp:cNvGraphicFramePr>
              <a:graphicFrameLocks noChangeAspect="1"/>
            </wp:cNvGraphicFramePr>
            <a:graphic>
              <a:graphicData uri="http://schemas.openxmlformats.org/drawingml/2006/picture">
                <pic:pic>
                  <pic:nvPicPr>
                    <pic:cNvPr id="0" name="27_workflow_modal_checklists.png"/>
                    <pic:cNvPicPr/>
                  </pic:nvPicPr>
                  <pic:blipFill>
                    <a:blip r:embed="rId41"/>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WorkFlow checklists</w:t>
      </w:r>
    </w:p>
    <w:p>
      <w:pPr>
        <w:pStyle w:val="Heading3"/>
        <w:keepNext/>
      </w:pPr>
      <w:r>
        <w:t>Objectif de la fenêtre</w:t>
      </w:r>
    </w:p>
    <w:p>
      <w:r>
        <w:rPr>
          <w:rFonts w:ascii="Calibri" w:hAnsi="Calibri" w:eastAsia="Calibri"/>
        </w:rPr>
        <w:t>Les check-lists définissent les points de contrôle à renseigner lors de la validation d'une étape. Elles servent à formaliser les vérifications attendues.</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Code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court du point de contrôle. Format : texte ou numéro court.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Libellé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Intitulé compréhensible par le validateur. Format : texte. Obligatoire pour qu'un contrôle soit utile.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Ajouter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une ligne de check-list.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Fermer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Ferme la fenêtre.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Sauvegarde les check-lists de l'étape.</w:t>
            </w:r>
          </w:p>
        </w:tc>
      </w:tr>
    </w:tbl>
    <w:p>
      <w:pPr>
        <w:spacing w:after="40"/>
      </w:pPr>
    </w:p>
    <w:p>
      <w:pPr>
        <w:pStyle w:val="Heading3"/>
        <w:keepNext/>
      </w:pPr>
      <w:r>
        <w:t>Relation avec la validation</w:t>
      </w:r>
    </w:p>
    <w:p>
      <w:r>
        <w:rPr>
          <w:rFonts w:ascii="Calibri" w:hAnsi="Calibri" w:eastAsia="Calibri"/>
        </w:rPr>
        <w:t>Lorsqu'un document atteint l'étape concernée, ces check-lists apparaissent dans la fenêtre de validation avec les réponses Oui, Non ou Non applicable. Les réponses sont ensuite visibles dans l'historique.</w:t>
      </w:r>
    </w:p>
    <w:p>
      <w:pPr>
        <w:pStyle w:val="Heading2"/>
        <w:keepNext/>
      </w:pPr>
      <w:r>
        <w:t>Receveurs</w:t>
      </w:r>
    </w:p>
    <w:p>
      <w:pPr>
        <w:keepNext/>
        <w:jc w:val="center"/>
      </w:pPr>
      <w:r>
        <w:drawing>
          <wp:inline xmlns:a="http://schemas.openxmlformats.org/drawingml/2006/main" xmlns:pic="http://schemas.openxmlformats.org/drawingml/2006/picture">
            <wp:extent cx="5715000" cy="3214688"/>
            <wp:docPr id="34" name="Picture 34"/>
            <wp:cNvGraphicFramePr>
              <a:graphicFrameLocks noChangeAspect="1"/>
            </wp:cNvGraphicFramePr>
            <a:graphic>
              <a:graphicData uri="http://schemas.openxmlformats.org/drawingml/2006/picture">
                <pic:pic>
                  <pic:nvPicPr>
                    <pic:cNvPr id="0" name="29_param_receveurs.png"/>
                    <pic:cNvPicPr/>
                  </pic:nvPicPr>
                  <pic:blipFill>
                    <a:blip r:embed="rId42"/>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Paramétrage receveurs</w:t>
      </w:r>
    </w:p>
    <w:p>
      <w:pPr>
        <w:pStyle w:val="Heading3"/>
        <w:keepNext/>
      </w:pPr>
      <w:r>
        <w:t>Objectif de l'écran</w:t>
      </w:r>
    </w:p>
    <w:p>
      <w:r>
        <w:rPr>
          <w:rFonts w:ascii="Calibri" w:hAnsi="Calibri" w:eastAsia="Calibri"/>
        </w:rPr>
        <w:t>Cet écran définit qui reçoit les documents selon leur origine ou leur confidentialité. Il est utilisé par les administrateurs pour organiser la prise en charge initiale.</w:t>
      </w:r>
    </w:p>
    <w:p>
      <w:pPr>
        <w:pStyle w:val="Heading3"/>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Receveurs Fournisseurs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Utilisateurs qui voient et prennent en charge les documents provenant des fournisseurs.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Receveurs Confidentiels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Utilisateurs autorisés à réceptionner les documents confidentiels.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Receveurs Internes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Utilisateurs qui prennent en charge les documents internes ou courriers.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qu'un utilisateur est receveur dans la catégorie.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Activer ou désactiver un utilisateur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ou retire l'utilisateur de la catégorie de receveurs.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Tout sélectionner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Active tous les utilisateurs affichés pour la catégorie.</w:t>
            </w:r>
          </w:p>
        </w:tc>
      </w:tr>
    </w:tbl>
    <w:p>
      <w:pPr>
        <w:spacing w:after="40"/>
      </w:pPr>
    </w:p>
    <w:p>
      <w:pPr>
        <w:pStyle w:val="Heading3"/>
        <w:keepNext/>
      </w:pPr>
      <w:r>
        <w:t>Relation avec les listes de documents</w:t>
      </w:r>
    </w:p>
    <w:p>
      <w:r>
        <w:rPr>
          <w:rFonts w:ascii="Calibri" w:hAnsi="Calibri" w:eastAsia="Calibri"/>
        </w:rPr>
        <w:t>Ce paramétrage détermine quels utilisateurs voient les menus de réception : Reçus fournisseurs, Service Courriers et Documents Confidentiels. Un utilisateur non désigné comme receveur peut ne pas voir les documents à réceptionner.</w:t>
      </w:r>
    </w:p>
    <w:p>
      <w:pPr>
        <w:pStyle w:val="Heading2"/>
        <w:keepNext/>
      </w:pPr>
      <w:r>
        <w:t>Champs dynamiques</w:t>
      </w:r>
    </w:p>
    <w:p>
      <w:pPr>
        <w:keepNext/>
        <w:jc w:val="center"/>
      </w:pPr>
      <w:r>
        <w:drawing>
          <wp:inline xmlns:a="http://schemas.openxmlformats.org/drawingml/2006/main" xmlns:pic="http://schemas.openxmlformats.org/drawingml/2006/picture">
            <wp:extent cx="5715000" cy="3214688"/>
            <wp:docPr id="35" name="Picture 35"/>
            <wp:cNvGraphicFramePr>
              <a:graphicFrameLocks noChangeAspect="1"/>
            </wp:cNvGraphicFramePr>
            <a:graphic>
              <a:graphicData uri="http://schemas.openxmlformats.org/drawingml/2006/picture">
                <pic:pic>
                  <pic:nvPicPr>
                    <pic:cNvPr id="0" name="30_param_champs_dynamiques.png"/>
                    <pic:cNvPicPr/>
                  </pic:nvPicPr>
                  <pic:blipFill>
                    <a:blip r:embed="rId43"/>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Paramétrage champs dynamiques</w:t>
      </w:r>
    </w:p>
    <w:p>
      <w:pPr>
        <w:pStyle w:val="Heading3"/>
        <w:keepNext/>
      </w:pPr>
      <w:r>
        <w:t>Objectif de l'écran</w:t>
      </w:r>
    </w:p>
    <w:p>
      <w:r>
        <w:rPr>
          <w:rFonts w:ascii="Calibri" w:hAnsi="Calibri" w:eastAsia="Calibri"/>
        </w:rPr>
        <w:t>Les champs dynamiques permettent d'ajouter des informations supplémentaires au dépôt des documents sans modifier le processus général.</w:t>
      </w:r>
    </w:p>
    <w:p>
      <w:pPr>
        <w:pStyle w:val="Heading3"/>
        <w:keepNext/>
      </w:pPr>
      <w:r>
        <w:t>Champs configurables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Étiquette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affiché à l'utilisateur lors du dépôt. Format : texte. Obligatoire.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de champ</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Format attendu : texte libre, date, case à cocher, liste, choix unique ou fichier.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Visible par les utilisateurs internes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 Oui, le champ apparaît dans le dépôt réalisé par les utilisateurs internes.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Visible par les fournisseurs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 Oui, le champ apparaît dans le dépôt côté fournisseur lorsque le portail est utilisé.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Requis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 Oui, le champ devient obligatoire au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Options disponibles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Valeurs proposées pour les listes ou choix uniques.</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Nouveau champ</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Crée un champ supplémentaire.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Met à jour un champ existant.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un champ qui ne doit plus apparaître.</w:t>
            </w:r>
          </w:p>
        </w:tc>
      </w:tr>
    </w:tbl>
    <w:p>
      <w:pPr>
        <w:spacing w:after="40"/>
      </w:pPr>
    </w:p>
    <w:p>
      <w:pPr>
        <w:pStyle w:val="Heading3"/>
        <w:keepNext/>
      </w:pPr>
      <w:r>
        <w:t>Relation avec le dépôt</w:t>
      </w:r>
    </w:p>
    <w:p>
      <w:r>
        <w:rPr>
          <w:rFonts w:ascii="Calibri" w:hAnsi="Calibri" w:eastAsia="Calibri"/>
        </w:rPr>
        <w:t>Les champs visibles apparaissent dans l'étape Informations du dépôt. Si un champ est requis, l'utilisateur doit le renseigner avant de continuer.</w:t>
      </w:r>
    </w:p>
    <w:p>
      <w:pPr>
        <w:pStyle w:val="Heading2"/>
        <w:keepNext/>
      </w:pPr>
      <w:r>
        <w:t>Plan de Comptes</w:t>
      </w:r>
    </w:p>
    <w:p>
      <w:pPr>
        <w:keepNext/>
        <w:jc w:val="center"/>
      </w:pPr>
      <w:r>
        <w:drawing>
          <wp:inline xmlns:a="http://schemas.openxmlformats.org/drawingml/2006/main" xmlns:pic="http://schemas.openxmlformats.org/drawingml/2006/picture">
            <wp:extent cx="5715000" cy="3214688"/>
            <wp:docPr id="36" name="Picture 36"/>
            <wp:cNvGraphicFramePr>
              <a:graphicFrameLocks noChangeAspect="1"/>
            </wp:cNvGraphicFramePr>
            <a:graphic>
              <a:graphicData uri="http://schemas.openxmlformats.org/drawingml/2006/picture">
                <pic:pic>
                  <pic:nvPicPr>
                    <pic:cNvPr id="0" name="31_param_plan_comptes.png"/>
                    <pic:cNvPicPr/>
                  </pic:nvPicPr>
                  <pic:blipFill>
                    <a:blip r:embed="rId44"/>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Paramétrage plan de comptes</w:t>
      </w:r>
    </w:p>
    <w:p>
      <w:pPr>
        <w:pStyle w:val="Heading3"/>
        <w:keepNext/>
      </w:pPr>
      <w:r>
        <w:t>Objectif de l'écran</w:t>
      </w:r>
    </w:p>
    <w:p>
      <w:r>
        <w:rPr>
          <w:rFonts w:ascii="Calibri" w:hAnsi="Calibri" w:eastAsia="Calibri"/>
        </w:rPr>
        <w:t>Le Plan de Comptes fournit les comptes comptables proposés lors de la validation d'un document. Il est utilisé par les équipes financières ou les administrateurs.</w:t>
      </w:r>
    </w:p>
    <w:p>
      <w:pPr>
        <w:pStyle w:val="Heading3"/>
        <w:keepNext/>
      </w:pPr>
      <w:r>
        <w:t>Champs et colonnes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Code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Code du compte comptable. Format : numéro ou texte court. Obligatoire lors de la création.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Libellé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du compte. Format : texte. Obligatoire.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Catégorie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Regroupement du compte : achats, services, personnel, finances, fiscalité, produits, charges, exceptionnel ou autre.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Filtre catégorie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limiter la liste aux comptes d'une catégorie.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Import CSV</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ou met à jour les comptes à partir d'un fichier.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Export CSV</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la liste des comptes.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Nouveau</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Crée un compte manuellement.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Met à jour un compte.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un compte si l'utilisateur y est autorisé.</w:t>
            </w:r>
          </w:p>
        </w:tc>
      </w:tr>
    </w:tbl>
    <w:p>
      <w:pPr>
        <w:spacing w:after="40"/>
      </w:pPr>
    </w:p>
    <w:p>
      <w:pPr>
        <w:pStyle w:val="Heading3"/>
        <w:keepNext/>
      </w:pPr>
      <w:r>
        <w:t>Relation avec la validation</w:t>
      </w:r>
    </w:p>
    <w:p>
      <w:r>
        <w:rPr>
          <w:rFonts w:ascii="Calibri" w:hAnsi="Calibri" w:eastAsia="Calibri"/>
        </w:rPr>
        <w:t>La liste Plan de compte de la fenêtre de validation utilise ce référentiel. Si un compte n'existe pas ici, il ne peut pas être sélectionné lors de la validation.</w:t>
      </w:r>
    </w:p>
    <w:p>
      <w:pPr>
        <w:pStyle w:val="Heading2"/>
        <w:keepNext/>
      </w:pPr>
      <w:r>
        <w:t>Configuration Mail SMTP</w:t>
      </w:r>
    </w:p>
    <w:p>
      <w:pPr>
        <w:keepNext/>
        <w:jc w:val="center"/>
      </w:pPr>
      <w:r>
        <w:drawing>
          <wp:inline xmlns:a="http://schemas.openxmlformats.org/drawingml/2006/main" xmlns:pic="http://schemas.openxmlformats.org/drawingml/2006/picture">
            <wp:extent cx="5715000" cy="3214688"/>
            <wp:docPr id="37" name="Picture 37"/>
            <wp:cNvGraphicFramePr>
              <a:graphicFrameLocks noChangeAspect="1"/>
            </wp:cNvGraphicFramePr>
            <a:graphic>
              <a:graphicData uri="http://schemas.openxmlformats.org/drawingml/2006/picture">
                <pic:pic>
                  <pic:nvPicPr>
                    <pic:cNvPr id="0" name="32_param_config_mail.png"/>
                    <pic:cNvPicPr/>
                  </pic:nvPicPr>
                  <pic:blipFill>
                    <a:blip r:embed="rId45"/>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Configuration mail SMTP</w:t>
      </w:r>
    </w:p>
    <w:p>
      <w:pPr>
        <w:pStyle w:val="Heading3"/>
        <w:keepNext/>
      </w:pPr>
      <w:r>
        <w:t>Objectif de l'écran</w:t>
      </w:r>
    </w:p>
    <w:p>
      <w:r>
        <w:rPr>
          <w:rFonts w:ascii="Calibri" w:hAnsi="Calibri" w:eastAsia="Calibri"/>
        </w:rPr>
        <w:t>Cet écran sert à configurer l'envoi des notifications par email : alertes, validations, rejets et relances.</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Hôte SMTP</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Adresse du serveur d'envoi. Format : texte. Obligatoire.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Port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Numéro du port d'envoi. Format : nombre.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STARTTLS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Option de sécurisation du courrier. À cocher selon le serveur mail.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SSL/TLS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Option de sécurisation du courrier. À cocher selon le serveur mail.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Adresse email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Adresse utilisée comme expéditeur. Format : email. Obligatoire.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Alias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affiché comme expéditeur. Optionnel.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Authentification activée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un identifiant et un mot de passe sont requis.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 d'utilisateur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du compte mail. Obligatoire si l'authentification est activée.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Mot de passe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Mot de passe du compte mail. Obligatoire si l'authentification est activée.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Email de test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Adresse utilisée pour tester la configuration. Format : email.</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et conditions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Envoyer test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Envoie un message de test. L'action nécessite au minimum le serveur et l'adresse d'envoi.</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Enregistrer la configuration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Sauvegarde les paramètres mail.</w:t>
            </w:r>
          </w:p>
        </w:tc>
      </w:tr>
    </w:tbl>
    <w:p>
      <w:pPr>
        <w:spacing w:after="40"/>
      </w:pPr>
    </w:p>
    <w:p>
      <w:pPr>
        <w:pStyle w:val="Heading3"/>
        <w:keepNext/>
      </w:pPr>
      <w:r>
        <w:t>Relation avec les autres écrans</w:t>
      </w:r>
    </w:p>
    <w:p>
      <w:r>
        <w:rPr>
          <w:rFonts w:ascii="Calibri" w:hAnsi="Calibri" w:eastAsia="Calibri"/>
        </w:rPr>
        <w:t>Les notifications de validation, de rejet et de relance dépendent de cette configuration. Si elle n'est pas correcte, les utilisateurs peuvent ne pas recevoir les emails attendus.</w:t>
      </w:r>
    </w:p>
    <w:p>
      <w:pPr>
        <w:pStyle w:val="Heading2"/>
        <w:keepNext/>
      </w:pPr>
      <w:r>
        <w:t>Gestion Fournisseurs</w:t>
      </w:r>
    </w:p>
    <w:p>
      <w:pPr>
        <w:keepNext/>
        <w:jc w:val="center"/>
      </w:pPr>
      <w:r>
        <w:drawing>
          <wp:inline xmlns:a="http://schemas.openxmlformats.org/drawingml/2006/main" xmlns:pic="http://schemas.openxmlformats.org/drawingml/2006/picture">
            <wp:extent cx="5715000" cy="3214688"/>
            <wp:docPr id="38" name="Picture 38"/>
            <wp:cNvGraphicFramePr>
              <a:graphicFrameLocks noChangeAspect="1"/>
            </wp:cNvGraphicFramePr>
            <a:graphic>
              <a:graphicData uri="http://schemas.openxmlformats.org/drawingml/2006/picture">
                <pic:pic>
                  <pic:nvPicPr>
                    <pic:cNvPr id="0" name="33_param_fournisseurs.png"/>
                    <pic:cNvPicPr/>
                  </pic:nvPicPr>
                  <pic:blipFill>
                    <a:blip r:embed="rId46"/>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Gestion fournisseurs</w:t>
      </w:r>
    </w:p>
    <w:p>
      <w:pPr>
        <w:pStyle w:val="Heading3"/>
        <w:keepNext/>
      </w:pPr>
      <w:r>
        <w:t>Objectif de l'écran</w:t>
      </w:r>
    </w:p>
    <w:p>
      <w:r>
        <w:rPr>
          <w:rFonts w:ascii="Calibri" w:hAnsi="Calibri" w:eastAsia="Calibri"/>
        </w:rPr>
        <w:t>La gestion fournisseurs centralise les informations des fournisseurs : identité, email, NIF, spécialités, comptes bancaires, statut et documents associés.</w:t>
      </w:r>
    </w:p>
    <w:p>
      <w:pPr>
        <w:pStyle w:val="Heading3"/>
        <w:keepNext/>
      </w:pPr>
      <w:r>
        <w:t>Colonnes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Colonne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Raison sociale et localisation.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Email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Contact principal. Format : email.</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NIF</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Numéro fiscal du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Spécialités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Domaines d'intervention du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Comptes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de coordonnées bancaires connues.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de documents associés au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le fournisseur est actif ou non.</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Importer CSV</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ou met à jour les fournisseurs depuis un fichier.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Exporter CSV</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Exporte la liste des fournisseurs.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Nouveau fournisseur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création d'une fiche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Détail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la fiche complète du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Met à jour les informations fournisseur.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Retire le fournisseur si les règles internes le permettent.</w:t>
            </w:r>
          </w:p>
        </w:tc>
      </w:tr>
    </w:tbl>
    <w:p>
      <w:pPr>
        <w:spacing w:after="40"/>
      </w:pPr>
    </w:p>
    <w:p>
      <w:pPr>
        <w:pStyle w:val="Heading3"/>
        <w:keepNext/>
      </w:pPr>
      <w:r>
        <w:t>Relation avec les documents</w:t>
      </w:r>
    </w:p>
    <w:p>
      <w:r>
        <w:rPr>
          <w:rFonts w:ascii="Calibri" w:hAnsi="Calibri" w:eastAsia="Calibri"/>
        </w:rPr>
        <w:t>Le fournisseur apparaît dans le dépôt, les listes, le détail document, les rapports fournisseurs et les recherches. Des informations cohérentes facilitent le suivi et réduisent les erreurs d'identification.</w:t>
      </w:r>
    </w:p>
    <w:p>
      <w:pPr>
        <w:pStyle w:val="Heading2"/>
        <w:keepNext/>
      </w:pPr>
      <w:r>
        <w:t>Causes de refus</w:t>
      </w:r>
    </w:p>
    <w:p>
      <w:pPr>
        <w:keepNext/>
        <w:jc w:val="center"/>
      </w:pPr>
      <w:r>
        <w:drawing>
          <wp:inline xmlns:a="http://schemas.openxmlformats.org/drawingml/2006/main" xmlns:pic="http://schemas.openxmlformats.org/drawingml/2006/picture">
            <wp:extent cx="5715000" cy="3214688"/>
            <wp:docPr id="39" name="Picture 39"/>
            <wp:cNvGraphicFramePr>
              <a:graphicFrameLocks noChangeAspect="1"/>
            </wp:cNvGraphicFramePr>
            <a:graphic>
              <a:graphicData uri="http://schemas.openxmlformats.org/drawingml/2006/picture">
                <pic:pic>
                  <pic:nvPicPr>
                    <pic:cNvPr id="0" name="34_param_causes_refus.png"/>
                    <pic:cNvPicPr/>
                  </pic:nvPicPr>
                  <pic:blipFill>
                    <a:blip r:embed="rId47"/>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Causes de refus</w:t>
      </w:r>
    </w:p>
    <w:p>
      <w:pPr>
        <w:pStyle w:val="Heading3"/>
        <w:keepNext/>
      </w:pPr>
      <w:r>
        <w:t>Objectif de l'écran</w:t>
      </w:r>
    </w:p>
    <w:p>
      <w:r>
        <w:rPr>
          <w:rFonts w:ascii="Calibri" w:hAnsi="Calibri" w:eastAsia="Calibri"/>
        </w:rPr>
        <w:t>Cet écran configure les motifs proposés lors du rejet d'un document. Il garantit que les refus sont classés de manière homogène.</w:t>
      </w:r>
    </w:p>
    <w:p>
      <w:pPr>
        <w:pStyle w:val="Heading3"/>
        <w:keepNext/>
      </w:pPr>
      <w:r>
        <w:t>Champs et colonnes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ID</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de la cause de refus.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Cause de refus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Libellé visible dans la fenêtre de rejet.</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Ajouter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Crée une nouvelle cause.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Change le libellé d'une cause existante.</w:t>
            </w:r>
          </w:p>
        </w:tc>
      </w:tr>
    </w:tbl>
    <w:p>
      <w:pPr>
        <w:spacing w:after="40"/>
      </w:pPr>
    </w:p>
    <w:p>
      <w:pPr>
        <w:pStyle w:val="Heading3"/>
        <w:keepNext/>
      </w:pPr>
      <w:r>
        <w:t>Relation avec le rejet</w:t>
      </w:r>
    </w:p>
    <w:p>
      <w:r>
        <w:rPr>
          <w:rFonts w:ascii="Calibri" w:hAnsi="Calibri" w:eastAsia="Calibri"/>
        </w:rPr>
        <w:t>Lorsqu'un validateur rejette un document, il doit sélectionner au moins une cause parmi celles configurées ici. Les causes alimentent ensuite les rapports sur les dossiers refusés.</w:t>
      </w:r>
    </w:p>
    <w:p>
      <w:pPr>
        <w:pStyle w:val="Heading2"/>
        <w:keepNext/>
      </w:pPr>
      <w:r>
        <w:t>Relance</w:t>
      </w:r>
    </w:p>
    <w:p>
      <w:pPr>
        <w:keepNext/>
        <w:jc w:val="center"/>
      </w:pPr>
      <w:r>
        <w:drawing>
          <wp:inline xmlns:a="http://schemas.openxmlformats.org/drawingml/2006/main" xmlns:pic="http://schemas.openxmlformats.org/drawingml/2006/picture">
            <wp:extent cx="5715000" cy="3214688"/>
            <wp:docPr id="40" name="Picture 40"/>
            <wp:cNvGraphicFramePr>
              <a:graphicFrameLocks noChangeAspect="1"/>
            </wp:cNvGraphicFramePr>
            <a:graphic>
              <a:graphicData uri="http://schemas.openxmlformats.org/drawingml/2006/picture">
                <pic:pic>
                  <pic:nvPicPr>
                    <pic:cNvPr id="0" name="35_param_relance.png"/>
                    <pic:cNvPicPr/>
                  </pic:nvPicPr>
                  <pic:blipFill>
                    <a:blip r:embed="rId48"/>
                    <a:stretch>
                      <a:fillRect/>
                    </a:stretch>
                  </pic:blipFill>
                  <pic:spPr>
                    <a:xfrm>
                      <a:off x="0" y="0"/>
                      <a:ext cx="5715000" cy="3214688"/>
                    </a:xfrm>
                    <a:prstGeom prst="rect"/>
                  </pic:spPr>
                </pic:pic>
              </a:graphicData>
            </a:graphic>
          </wp:inline>
        </w:drawing>
      </w:r>
    </w:p>
    <w:p>
      <w:pPr>
        <w:spacing w:after="160"/>
        <w:jc w:val="center"/>
      </w:pPr>
      <w:r>
        <w:rPr>
          <w:rFonts w:ascii="Calibri" w:hAnsi="Calibri" w:eastAsia="Calibri"/>
          <w:i/>
          <w:color w:val="64748B"/>
          <w:sz w:val="18"/>
        </w:rPr>
        <w:t>Capture - Paramétrage relance</w:t>
      </w:r>
    </w:p>
    <w:p>
      <w:pPr>
        <w:pStyle w:val="Heading3"/>
        <w:keepNext/>
      </w:pPr>
      <w:r>
        <w:t>Objectif de l'écran</w:t>
      </w:r>
    </w:p>
    <w:p>
      <w:r>
        <w:rPr>
          <w:rFonts w:ascii="Calibri" w:hAnsi="Calibri" w:eastAsia="Calibri"/>
        </w:rPr>
        <w:t>Le paramétrage de relance définit le comportement et le contenu des emails envoyés lorsque des validations sont en retard.</w:t>
      </w:r>
    </w:p>
    <w:p>
      <w:pPr>
        <w:pStyle w:val="Heading3"/>
        <w:keepNext/>
      </w:pPr>
      <w:r>
        <w:t>Champs et zones de saisie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Relance automatique activée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Case à cocher. Si elle est active, SoftDocs envoie automatiquement des relances aux validateurs en retard.</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Déclencher après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de jours de retard avant relance. Format : nombre.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copie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Adresses ou destinataires en copie. Optionnel selon la politique interne.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Objet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Sujet de l'email de relance. Format : texte.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Message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Corps de l'email. Format : texte.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Variables disponibles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Codes remplacés automatiquement par les informations du document, par exemple référence, type, fournisseur, jours de retard, valideur, date de dépôt, projet ou site.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Aperçu de l'email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 résultat attendu avec des données d'exemple.</w:t>
            </w:r>
          </w:p>
        </w:tc>
      </w:tr>
    </w:tbl>
    <w:p>
      <w:pPr>
        <w:spacing w:after="40"/>
      </w:pPr>
    </w:p>
    <w:p>
      <w:pPr>
        <w:pStyle w:val="Heading3"/>
        <w:keepNext/>
      </w:pPr>
      <w:r>
        <w:t>Actions disponibles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Enregistrer le modèle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Sauvegarde le paramétrage de relance.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Réinitialiser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Restaure le modèle par défaut ou annule les modifications courantes.</w:t>
            </w:r>
          </w:p>
        </w:tc>
      </w:tr>
    </w:tbl>
    <w:p>
      <w:pPr>
        <w:spacing w:after="40"/>
      </w:pPr>
    </w:p>
    <w:p>
      <w:pPr>
        <w:pStyle w:val="Heading3"/>
        <w:keepNext/>
      </w:pPr>
      <w:r>
        <w:t>Relation avec le détail document</w:t>
      </w:r>
    </w:p>
    <w:p>
      <w:r>
        <w:rPr>
          <w:rFonts w:ascii="Calibri" w:hAnsi="Calibri" w:eastAsia="Calibri"/>
        </w:rPr>
        <w:t>Lorsqu'un document est en retard, le bouton Relancer peut être disponible dans sa fiche. Le contenu envoyé s'appuie sur ce modèle et sur la configuration mail.</w:t>
      </w:r>
    </w:p>
    <w:p>
      <w:pPr>
        <w:pStyle w:val="Heading1"/>
        <w:keepNext/>
      </w:pPr>
      <w:r>
        <w:t>Parcours utilisateur complets</w:t>
      </w:r>
    </w:p>
    <w:p>
      <w:pPr>
        <w:pStyle w:val="Heading2"/>
        <w:keepNext/>
      </w:pPr>
      <w:r>
        <w:t>Parcours 1 - Dépôt puis réception</w:t>
      </w:r>
    </w:p>
    <w:p>
      <w:pPr>
        <w:pStyle w:val="ListNumber"/>
      </w:pPr>
      <w:r>
        <w:rPr>
          <w:rFonts w:ascii="Calibri" w:hAnsi="Calibri" w:eastAsia="Calibri"/>
        </w:rPr>
        <w:t>L'utilisateur ouvre Déposer.</w:t>
      </w:r>
    </w:p>
    <w:p>
      <w:pPr>
        <w:pStyle w:val="ListNumber"/>
      </w:pPr>
      <w:r>
        <w:rPr>
          <w:rFonts w:ascii="Calibri" w:hAnsi="Calibri" w:eastAsia="Calibri"/>
        </w:rPr>
        <w:t>Il ajoute le document principal dans l'étape OCR ou choisit la saisie manuelle.</w:t>
      </w:r>
    </w:p>
    <w:p>
      <w:pPr>
        <w:pStyle w:val="ListNumber"/>
      </w:pPr>
      <w:r>
        <w:rPr>
          <w:rFonts w:ascii="Calibri" w:hAnsi="Calibri" w:eastAsia="Calibri"/>
        </w:rPr>
        <w:t>Il complète les informations obligatoires, notamment projet et site.</w:t>
      </w:r>
    </w:p>
    <w:p>
      <w:pPr>
        <w:pStyle w:val="ListNumber"/>
      </w:pPr>
      <w:r>
        <w:rPr>
          <w:rFonts w:ascii="Calibri" w:hAnsi="Calibri" w:eastAsia="Calibri"/>
        </w:rPr>
        <w:t>Il ajoute les annexes si nécessaire.</w:t>
      </w:r>
    </w:p>
    <w:p>
      <w:pPr>
        <w:pStyle w:val="ListNumber"/>
      </w:pPr>
      <w:r>
        <w:rPr>
          <w:rFonts w:ascii="Calibri" w:hAnsi="Calibri" w:eastAsia="Calibri"/>
        </w:rPr>
        <w:t>Il confirme le dépôt.</w:t>
      </w:r>
    </w:p>
    <w:p>
      <w:pPr>
        <w:pStyle w:val="ListNumber"/>
      </w:pPr>
      <w:r>
        <w:rPr>
          <w:rFonts w:ascii="Calibri" w:hAnsi="Calibri" w:eastAsia="Calibri"/>
        </w:rPr>
        <w:t>Le document est visible dans les listes de réception adaptées à son origine et à sa confidentialité.</w:t>
      </w:r>
    </w:p>
    <w:p>
      <w:pPr>
        <w:pStyle w:val="ListNumber"/>
      </w:pPr>
      <w:r>
        <w:rPr>
          <w:rFonts w:ascii="Calibri" w:hAnsi="Calibri" w:eastAsia="Calibri"/>
        </w:rPr>
        <w:t>Un receveur accuse réception.</w:t>
      </w:r>
    </w:p>
    <w:p>
      <w:pPr>
        <w:pStyle w:val="ListNumber"/>
      </w:pPr>
      <w:r>
        <w:rPr>
          <w:rFonts w:ascii="Calibri" w:hAnsi="Calibri" w:eastAsia="Calibri"/>
        </w:rPr>
        <w:t>Si le type de document n'est pas défini, le receveur affecte un type.</w:t>
      </w:r>
    </w:p>
    <w:p>
      <w:pPr>
        <w:pStyle w:val="ListNumber"/>
      </w:pPr>
      <w:r>
        <w:rPr>
          <w:rFonts w:ascii="Calibri" w:hAnsi="Calibri" w:eastAsia="Calibri"/>
        </w:rPr>
        <w:t>Le WorkFlow du type choisi détermine les étapes suivantes, les validateurs, les check-lists et les délais.</w:t>
      </w:r>
    </w:p>
    <w:p>
      <w:pPr>
        <w:pStyle w:val="Heading2"/>
        <w:keepNext/>
      </w:pPr>
      <w:r>
        <w:t>Parcours 2 - Validation standard</w:t>
      </w:r>
    </w:p>
    <w:p>
      <w:pPr>
        <w:pStyle w:val="ListNumber"/>
      </w:pPr>
      <w:r>
        <w:rPr>
          <w:rFonts w:ascii="Calibri" w:hAnsi="Calibri" w:eastAsia="Calibri"/>
        </w:rPr>
        <w:t>Le validateur retrouve le document depuis Reçu, En cours, une recherche ou un rapport.</w:t>
      </w:r>
    </w:p>
    <w:p>
      <w:pPr>
        <w:pStyle w:val="ListNumber"/>
      </w:pPr>
      <w:r>
        <w:rPr>
          <w:rFonts w:ascii="Calibri" w:hAnsi="Calibri" w:eastAsia="Calibri"/>
        </w:rPr>
        <w:t>Il ouvre le détail document.</w:t>
      </w:r>
    </w:p>
    <w:p>
      <w:pPr>
        <w:pStyle w:val="ListNumber"/>
      </w:pPr>
      <w:r>
        <w:rPr>
          <w:rFonts w:ascii="Calibri" w:hAnsi="Calibri" w:eastAsia="Calibri"/>
        </w:rPr>
        <w:t>Il vérifie les onglets OCR, Annexes, Circuit et Historique.</w:t>
      </w:r>
    </w:p>
    <w:p>
      <w:pPr>
        <w:pStyle w:val="ListNumber"/>
      </w:pPr>
      <w:r>
        <w:rPr>
          <w:rFonts w:ascii="Calibri" w:hAnsi="Calibri" w:eastAsia="Calibri"/>
        </w:rPr>
        <w:t>Il clique sur Valider.</w:t>
      </w:r>
    </w:p>
    <w:p>
      <w:pPr>
        <w:pStyle w:val="ListNumber"/>
      </w:pPr>
      <w:r>
        <w:rPr>
          <w:rFonts w:ascii="Calibri" w:hAnsi="Calibri" w:eastAsia="Calibri"/>
        </w:rPr>
        <w:t>Il renseigne le montant réel, le plan de compte si nécessaire, le commentaire et les check-lists.</w:t>
      </w:r>
    </w:p>
    <w:p>
      <w:pPr>
        <w:pStyle w:val="ListNumber"/>
      </w:pPr>
      <w:r>
        <w:rPr>
          <w:rFonts w:ascii="Calibri" w:hAnsi="Calibri" w:eastAsia="Calibri"/>
        </w:rPr>
        <w:t>Il sélectionne les validateurs de l'étape suivante lorsque cela est demandé.</w:t>
      </w:r>
    </w:p>
    <w:p>
      <w:pPr>
        <w:pStyle w:val="ListNumber"/>
      </w:pPr>
      <w:r>
        <w:rPr>
          <w:rFonts w:ascii="Calibri" w:hAnsi="Calibri" w:eastAsia="Calibri"/>
        </w:rPr>
        <w:t>Il envoie la validation.</w:t>
      </w:r>
    </w:p>
    <w:p>
      <w:pPr>
        <w:pStyle w:val="ListNumber"/>
      </w:pPr>
      <w:r>
        <w:rPr>
          <w:rFonts w:ascii="Calibri" w:hAnsi="Calibri" w:eastAsia="Calibri"/>
        </w:rPr>
        <w:t>Le document passe à l'étape suivante ou devient Validé si le circuit est terminé.</w:t>
      </w:r>
    </w:p>
    <w:p>
      <w:pPr>
        <w:pStyle w:val="Heading2"/>
        <w:keepNext/>
      </w:pPr>
      <w:r>
        <w:t>Parcours 3 - Redirection vers une étape précédente</w:t>
      </w:r>
    </w:p>
    <w:p>
      <w:pPr>
        <w:pStyle w:val="ListNumber"/>
      </w:pPr>
      <w:r>
        <w:rPr>
          <w:rFonts w:ascii="Calibri" w:hAnsi="Calibri" w:eastAsia="Calibri"/>
        </w:rPr>
        <w:t>Le validateur constate qu'une correction ou vérification précédente est nécessaire.</w:t>
      </w:r>
    </w:p>
    <w:p>
      <w:pPr>
        <w:pStyle w:val="ListNumber"/>
      </w:pPr>
      <w:r>
        <w:rPr>
          <w:rFonts w:ascii="Calibri" w:hAnsi="Calibri" w:eastAsia="Calibri"/>
        </w:rPr>
        <w:t>Il clique sur Rediriger.</w:t>
      </w:r>
    </w:p>
    <w:p>
      <w:pPr>
        <w:pStyle w:val="ListNumber"/>
      </w:pPr>
      <w:r>
        <w:rPr>
          <w:rFonts w:ascii="Calibri" w:hAnsi="Calibri" w:eastAsia="Calibri"/>
        </w:rPr>
        <w:t>Il choisit l'étape de retour.</w:t>
      </w:r>
    </w:p>
    <w:p>
      <w:pPr>
        <w:pStyle w:val="ListNumber"/>
      </w:pPr>
      <w:r>
        <w:rPr>
          <w:rFonts w:ascii="Calibri" w:hAnsi="Calibri" w:eastAsia="Calibri"/>
        </w:rPr>
        <w:t>Il sélectionne les validateurs autorisés à reprendre l'étape.</w:t>
      </w:r>
    </w:p>
    <w:p>
      <w:pPr>
        <w:pStyle w:val="ListNumber"/>
      </w:pPr>
      <w:r>
        <w:rPr>
          <w:rFonts w:ascii="Calibri" w:hAnsi="Calibri" w:eastAsia="Calibri"/>
        </w:rPr>
        <w:t>Il saisit un motif obligatoire.</w:t>
      </w:r>
    </w:p>
    <w:p>
      <w:pPr>
        <w:pStyle w:val="ListNumber"/>
      </w:pPr>
      <w:r>
        <w:rPr>
          <w:rFonts w:ascii="Calibri" w:hAnsi="Calibri" w:eastAsia="Calibri"/>
        </w:rPr>
        <w:t>Il confirme la redirection.</w:t>
      </w:r>
    </w:p>
    <w:p>
      <w:pPr>
        <w:pStyle w:val="ListNumber"/>
      </w:pPr>
      <w:r>
        <w:rPr>
          <w:rFonts w:ascii="Calibri" w:hAnsi="Calibri" w:eastAsia="Calibri"/>
        </w:rPr>
        <w:t>Le document revient à l'étape choisie et l'historique conserve la trace de l'opération.</w:t>
      </w:r>
    </w:p>
    <w:p>
      <w:pPr>
        <w:pStyle w:val="Heading2"/>
        <w:keepNext/>
      </w:pPr>
      <w:r>
        <w:t>Parcours 4 - Rejet d'un document</w:t>
      </w:r>
    </w:p>
    <w:p>
      <w:pPr>
        <w:pStyle w:val="ListNumber"/>
      </w:pPr>
      <w:r>
        <w:rPr>
          <w:rFonts w:ascii="Calibri" w:hAnsi="Calibri" w:eastAsia="Calibri"/>
        </w:rPr>
        <w:t>Le validateur clique sur Rejeter.</w:t>
      </w:r>
    </w:p>
    <w:p>
      <w:pPr>
        <w:pStyle w:val="ListNumber"/>
      </w:pPr>
      <w:r>
        <w:rPr>
          <w:rFonts w:ascii="Calibri" w:hAnsi="Calibri" w:eastAsia="Calibri"/>
        </w:rPr>
        <w:t>Il sélectionne au moins une cause de refus.</w:t>
      </w:r>
    </w:p>
    <w:p>
      <w:pPr>
        <w:pStyle w:val="ListNumber"/>
      </w:pPr>
      <w:r>
        <w:rPr>
          <w:rFonts w:ascii="Calibri" w:hAnsi="Calibri" w:eastAsia="Calibri"/>
        </w:rPr>
        <w:t>Il saisit un commentaire obligatoire.</w:t>
      </w:r>
    </w:p>
    <w:p>
      <w:pPr>
        <w:pStyle w:val="ListNumber"/>
      </w:pPr>
      <w:r>
        <w:rPr>
          <w:rFonts w:ascii="Calibri" w:hAnsi="Calibri" w:eastAsia="Calibri"/>
        </w:rPr>
        <w:t>Il continue puis confirme le rejet.</w:t>
      </w:r>
    </w:p>
    <w:p>
      <w:pPr>
        <w:pStyle w:val="ListNumber"/>
      </w:pPr>
      <w:r>
        <w:rPr>
          <w:rFonts w:ascii="Calibri" w:hAnsi="Calibri" w:eastAsia="Calibri"/>
        </w:rPr>
        <w:t>Le document passe au statut Rejeté.</w:t>
      </w:r>
    </w:p>
    <w:p>
      <w:pPr>
        <w:pStyle w:val="ListNumber"/>
      </w:pPr>
      <w:r>
        <w:rPr>
          <w:rFonts w:ascii="Calibri" w:hAnsi="Calibri" w:eastAsia="Calibri"/>
        </w:rPr>
        <w:t>Il devient visible dans les listes et rapports liés aux refus.</w:t>
      </w:r>
    </w:p>
    <w:p>
      <w:pPr>
        <w:pStyle w:val="Heading2"/>
        <w:keepNext/>
      </w:pPr>
      <w:r>
        <w:t>Parcours 5 - Signature SoftSign</w:t>
      </w:r>
    </w:p>
    <w:p>
      <w:pPr>
        <w:pStyle w:val="ListNumber"/>
      </w:pPr>
      <w:r>
        <w:rPr>
          <w:rFonts w:ascii="Calibri" w:hAnsi="Calibri" w:eastAsia="Calibri"/>
        </w:rPr>
        <w:t>L'administrateur configure dans WorkFlow une étape avec la case Document à signer.</w:t>
      </w:r>
    </w:p>
    <w:p>
      <w:pPr>
        <w:pStyle w:val="ListNumber"/>
      </w:pPr>
      <w:r>
        <w:rPr>
          <w:rFonts w:ascii="Calibri" w:hAnsi="Calibri" w:eastAsia="Calibri"/>
        </w:rPr>
        <w:t>Le document arrive à cette étape.</w:t>
      </w:r>
    </w:p>
    <w:p>
      <w:pPr>
        <w:pStyle w:val="ListNumber"/>
      </w:pPr>
      <w:r>
        <w:rPr>
          <w:rFonts w:ascii="Calibri" w:hAnsi="Calibri" w:eastAsia="Calibri"/>
        </w:rPr>
        <w:t>Dans la fiche document, l'utilisateur autorisé ouvre l'action Envoyer pour signature SoftSign.</w:t>
      </w:r>
    </w:p>
    <w:p>
      <w:pPr>
        <w:pStyle w:val="ListNumber"/>
      </w:pPr>
      <w:r>
        <w:rPr>
          <w:rFonts w:ascii="Calibri" w:hAnsi="Calibri" w:eastAsia="Calibri"/>
        </w:rPr>
        <w:t>Il sélectionne le type SoftSign et le WorkFlow SoftSign compatible.</w:t>
      </w:r>
    </w:p>
    <w:p>
      <w:pPr>
        <w:pStyle w:val="ListNumber"/>
      </w:pPr>
      <w:r>
        <w:rPr>
          <w:rFonts w:ascii="Calibri" w:hAnsi="Calibri" w:eastAsia="Calibri"/>
        </w:rPr>
        <w:t>Il vérifie ou ajuste les zones de signature.</w:t>
      </w:r>
    </w:p>
    <w:p>
      <w:pPr>
        <w:pStyle w:val="ListNumber"/>
      </w:pPr>
      <w:r>
        <w:rPr>
          <w:rFonts w:ascii="Calibri" w:hAnsi="Calibri" w:eastAsia="Calibri"/>
        </w:rPr>
        <w:t>Il confirme l'envoi vers SoftSign.</w:t>
      </w:r>
    </w:p>
    <w:p>
      <w:pPr>
        <w:pStyle w:val="ListNumber"/>
      </w:pPr>
      <w:r>
        <w:rPr>
          <w:rFonts w:ascii="Calibri" w:hAnsi="Calibri" w:eastAsia="Calibri"/>
        </w:rPr>
        <w:t>Le document passe en état de validation SoftSign et les actions SoftDocs de validation sont suspendues.</w:t>
      </w:r>
    </w:p>
    <w:p>
      <w:pPr>
        <w:pStyle w:val="ListNumber"/>
      </w:pPr>
      <w:r>
        <w:rPr>
          <w:rFonts w:ascii="Calibri" w:hAnsi="Calibri" w:eastAsia="Calibri"/>
        </w:rPr>
        <w:t>Lorsque le document signé revient, il peut être rattaché depuis l'onglet Signature SoftSign.</w:t>
      </w:r>
    </w:p>
    <w:p>
      <w:pPr>
        <w:pStyle w:val="ListNumber"/>
      </w:pPr>
      <w:r>
        <w:rPr>
          <w:rFonts w:ascii="Calibri" w:hAnsi="Calibri" w:eastAsia="Calibri"/>
        </w:rPr>
        <w:t>Le traitement SoftDocs peut ensuite reprendre selon les règles de l'organisation.</w:t>
      </w:r>
    </w:p>
    <w:p>
      <w:pPr>
        <w:pStyle w:val="Heading2"/>
        <w:keepNext/>
      </w:pPr>
      <w:r>
        <w:t>Parcours 6 - Relance d'un retard</w:t>
      </w:r>
    </w:p>
    <w:p>
      <w:pPr>
        <w:pStyle w:val="ListNumber"/>
      </w:pPr>
      <w:r>
        <w:rPr>
          <w:rFonts w:ascii="Calibri" w:hAnsi="Calibri" w:eastAsia="Calibri"/>
        </w:rPr>
        <w:t>Un document dépasse le délai défini dans son étape WorkFlow.</w:t>
      </w:r>
    </w:p>
    <w:p>
      <w:pPr>
        <w:pStyle w:val="ListNumber"/>
      </w:pPr>
      <w:r>
        <w:rPr>
          <w:rFonts w:ascii="Calibri" w:hAnsi="Calibri" w:eastAsia="Calibri"/>
        </w:rPr>
        <w:t>Il apparaît en retard dans les tableaux de bord, rapports ou listes.</w:t>
      </w:r>
    </w:p>
    <w:p>
      <w:pPr>
        <w:pStyle w:val="ListNumber"/>
      </w:pPr>
      <w:r>
        <w:rPr>
          <w:rFonts w:ascii="Calibri" w:hAnsi="Calibri" w:eastAsia="Calibri"/>
        </w:rPr>
        <w:t>Selon le paramétrage, une relance automatique peut être envoyée.</w:t>
      </w:r>
    </w:p>
    <w:p>
      <w:pPr>
        <w:pStyle w:val="ListNumber"/>
      </w:pPr>
      <w:r>
        <w:rPr>
          <w:rFonts w:ascii="Calibri" w:hAnsi="Calibri" w:eastAsia="Calibri"/>
        </w:rPr>
        <w:t>Un utilisateur autorisé peut aussi utiliser le bouton Relancer depuis la fiche document.</w:t>
      </w:r>
    </w:p>
    <w:p>
      <w:pPr>
        <w:pStyle w:val="ListNumber"/>
      </w:pPr>
      <w:r>
        <w:rPr>
          <w:rFonts w:ascii="Calibri" w:hAnsi="Calibri" w:eastAsia="Calibri"/>
        </w:rPr>
        <w:t>La relance est tracée dans l'historique.</w:t>
      </w:r>
    </w:p>
    <w:p>
      <w:pPr>
        <w:pStyle w:val="Heading1"/>
        <w:keepNext/>
      </w:pPr>
      <w:r>
        <w:t>Bonnes pratiques utilisateur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Situation</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Recommandation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Score OCR faible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Vérifier les montants, dates, NIF et fournisseur avant validation.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 sans type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Affecter le type correct avant de lancer le circuit, car le type détermine tout le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Document confidentiel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Vérifier que la confidentialité est bien justifiée, car elle limite l'accès aux seuls utilisateurs autorisés.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Refus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Toujours choisir la cause la plus précise et rédiger un commentaire compréhensible.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Redirection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Expliquer clairement ce qui doit être corrigé afin d'éviter un nouveau blocage.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Signature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Vérifier dans WorkFlow que l'étape est marquée Document à signer avant d'attendre une action SoftSign dans le détail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Relance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Utiliser les relances pour débloquer les retards, mais vérifier d'abord que le validateur attendu est correct.</w:t>
            </w:r>
          </w:p>
        </w:tc>
      </w:tr>
    </w:tbl>
    <w:p>
      <w:pPr>
        <w:spacing w:after="40"/>
      </w:pPr>
    </w:p>
    <w:p>
      <w:pPr>
        <w:pStyle w:val="Heading1"/>
        <w:keepNext/>
      </w:pPr>
      <w:r>
        <w:t>Synthèse des relations importantes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Paramétrage ou écran source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 dans les écrans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 étapes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Définit le circuit affiché dans le détail document et l'ordre des validations.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 durée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les retards et les relances.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 validateurs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qui peut traiter chaque 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 check-lists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la fenêtre de validation et l'onglet Historique.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 - Document à signer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Conditionne l'action Envoyer pour signature SoftSign dans la fiche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Receveurs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Détermine qui voit les documents à réceptionner.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Champs dynamiques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Ajoute des champs dans le dépôt et peut rendre certaines informations obligatoires.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Plan de Comptes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 champ Plan de compte dans la validation.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Causes de refus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les choix obligatoires dans la fenêtre de rejet.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Configuration mail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l'envoi des notifications et relances.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Relance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Définit quand et comment les emails de retard sont envoyés.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les informations fournisseur dans le dépôt, les listes, le détail et les rapports.</w:t>
            </w:r>
          </w:p>
        </w:tc>
      </w:tr>
    </w:tbl>
    <w:p>
      <w:pPr>
        <w:spacing w:after="40"/>
      </w:pPr>
    </w:p>
    <w:sectPr w:rsidR="00FC693F" w:rsidRPr="0006063C" w:rsidSect="00034616">
      <w:footerReference w:type="default" r:id="rId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7"/>
      </w:rPr>
      <w:t>SoftDocs - Manuel utilisateur - 12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36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440"/>
    </w:pPr>
    <w:rPr>
      <w:rFonts w:asciiTheme="majorHAnsi" w:eastAsiaTheme="majorEastAsia" w:hAnsiTheme="majorHAnsi" w:cstheme="majorBidi" w:ascii="Calibri" w:hAnsi="Calibri" w:eastAsia="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SoftDocs</dc:title>
  <dc:subject>Gestion documentaire, validation, rapports et signature SoftSign</dc:subject>
  <dc:creator>SoftWell / Documentation utilisateur</dc:creator>
  <cp:keywords/>
  <dc:description>generated by python-docx</dc:description>
  <cp:lastModifiedBy/>
  <cp:revision>1</cp:revision>
  <dcterms:created xsi:type="dcterms:W3CDTF">2013-12-23T23:15:00Z</dcterms:created>
  <dcterms:modified xsi:type="dcterms:W3CDTF">2013-12-23T23:15:00Z</dcterms:modified>
  <cp:category/>
</cp:coreProperties>
</file>