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514424"/>
            <wp:docPr id="1" name="Picture 1"/>
            <wp:cNvGraphicFramePr>
              <a:graphicFrameLocks noChangeAspect="1"/>
            </wp:cNvGraphicFramePr>
            <a:graphic>
              <a:graphicData uri="http://schemas.openxmlformats.org/drawingml/2006/picture">
                <pic:pic>
                  <pic:nvPicPr>
                    <pic:cNvPr id="0" name="softepayment-logo.png"/>
                    <pic:cNvPicPr/>
                  </pic:nvPicPr>
                  <pic:blipFill>
                    <a:blip r:embed="rId9"/>
                    <a:stretch>
                      <a:fillRect/>
                    </a:stretch>
                  </pic:blipFill>
                  <pic:spPr>
                    <a:xfrm>
                      <a:off x="0" y="0"/>
                      <a:ext cx="1645920" cy="514424"/>
                    </a:xfrm>
                    <a:prstGeom prst="rect"/>
                  </pic:spPr>
                </pic:pic>
              </a:graphicData>
            </a:graphic>
          </wp:inline>
        </w:drawing>
      </w:r>
    </w:p>
    <w:p>
      <w:pPr>
        <w:pStyle w:val="Title"/>
        <w:jc w:val="center"/>
      </w:pPr>
      <w:r>
        <w:t>Manuel utilisateur SoftPaiement</w:t>
      </w:r>
    </w:p>
    <w:p>
      <w:pPr>
        <w:pStyle w:val="Subtitle"/>
        <w:jc w:val="center"/>
      </w:pPr>
      <w:r>
        <w:t>Liquidations, paiements mobiles, génération XML bancaire, TOMPRO, rapports et droits utilisateurs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600"/>
        <w:gridCol w:w="6760"/>
      </w:tblGrid>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Destinataires</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Utilisateurs finaux, gestionnaires financiers, comptables, validateurs, responsables financiers et administrateurs SoftPaiement</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Périmètre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Tableau de bord, liquidations, récupération SoftDocs, synchronisation TOMPRO, paiements, génération XML bancaire, paramétrage, rapports et utilisateurs</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Version</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1.0</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Date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13 juin 2026</w:t>
            </w:r>
          </w:p>
        </w:tc>
      </w:tr>
    </w:tbl>
    <w:p>
      <w:pPr>
        <w:spacing w:after="40"/>
      </w:pPr>
    </w:p>
    <w:p>
      <w:pPr>
        <w:spacing w:before="280"/>
        <w:jc w:val="center"/>
      </w:pPr>
      <w:r>
        <w:rPr>
          <w:rFonts w:ascii="Calibri" w:hAnsi="Calibri" w:eastAsia="Calibri"/>
          <w:i/>
          <w:color w:val="64748B"/>
          <w:sz w:val="20"/>
        </w:rPr>
        <w:t>Documentation fonctionnelle rédigée à partir des écrans SoftPaiement</w:t>
      </w:r>
    </w:p>
    <w:p>
      <w:r>
        <w:br w:type="page"/>
      </w:r>
    </w:p>
    <w:p>
      <w:pPr>
        <w:pStyle w:val="Heading1"/>
        <w:keepNext/>
      </w:pPr>
      <w:r>
        <w:t>Table des matières</w:t>
      </w:r>
    </w:p>
    <w:p>
      <w:pPr>
        <w:pStyle w:val="ListBullet"/>
        <w:ind w:left="360"/>
      </w:pPr>
      <w:r>
        <w:rPr>
          <w:rFonts w:ascii="Calibri" w:hAnsi="Calibri" w:eastAsia="Calibri"/>
          <w:b w:val="0"/>
          <w:color w:val="334155"/>
          <w:sz w:val="21"/>
        </w:rPr>
        <w:t>1. Présentation générale du module</w:t>
      </w:r>
    </w:p>
    <w:p>
      <w:pPr>
        <w:pStyle w:val="ListBullet"/>
        <w:ind w:left="360"/>
      </w:pPr>
      <w:r>
        <w:rPr>
          <w:rFonts w:ascii="Calibri" w:hAnsi="Calibri" w:eastAsia="Calibri"/>
          <w:b w:val="0"/>
          <w:color w:val="334155"/>
          <w:sz w:val="21"/>
        </w:rPr>
        <w:t>2. Repères fonctionnels et enchaînement global</w:t>
      </w:r>
    </w:p>
    <w:p>
      <w:pPr>
        <w:pStyle w:val="ListBullet"/>
        <w:ind w:left="360"/>
      </w:pPr>
      <w:r>
        <w:rPr>
          <w:rFonts w:ascii="Calibri" w:hAnsi="Calibri" w:eastAsia="Calibri"/>
          <w:b w:val="0"/>
          <w:color w:val="334155"/>
          <w:sz w:val="21"/>
        </w:rPr>
        <w:t>3. Navigation SoftPaiement</w:t>
      </w:r>
    </w:p>
    <w:p>
      <w:pPr>
        <w:pStyle w:val="ListBullet"/>
        <w:ind w:left="360"/>
      </w:pPr>
      <w:r>
        <w:rPr>
          <w:rFonts w:ascii="Calibri" w:hAnsi="Calibri" w:eastAsia="Calibri"/>
          <w:b w:val="0"/>
          <w:color w:val="334155"/>
          <w:sz w:val="21"/>
        </w:rPr>
        <w:t>4. Tableau de bord SoftPaiement</w:t>
      </w:r>
    </w:p>
    <w:p>
      <w:pPr>
        <w:pStyle w:val="ListBullet"/>
        <w:ind w:left="360"/>
      </w:pPr>
      <w:r>
        <w:rPr>
          <w:rFonts w:ascii="Calibri" w:hAnsi="Calibri" w:eastAsia="Calibri"/>
          <w:b w:val="0"/>
          <w:color w:val="334155"/>
          <w:sz w:val="21"/>
        </w:rPr>
        <w:t>5. Liquidations - Liste</w:t>
      </w:r>
    </w:p>
    <w:p>
      <w:pPr>
        <w:pStyle w:val="ListBullet"/>
        <w:ind w:left="360"/>
      </w:pPr>
      <w:r>
        <w:rPr>
          <w:rFonts w:ascii="Calibri" w:hAnsi="Calibri" w:eastAsia="Calibri"/>
          <w:b w:val="0"/>
          <w:color w:val="334155"/>
          <w:sz w:val="21"/>
        </w:rPr>
        <w:t>6. Liquidation - Formulaire de création ou modification</w:t>
      </w:r>
    </w:p>
    <w:p>
      <w:pPr>
        <w:pStyle w:val="ListBullet"/>
        <w:ind w:left="360"/>
      </w:pPr>
      <w:r>
        <w:rPr>
          <w:rFonts w:ascii="Calibri" w:hAnsi="Calibri" w:eastAsia="Calibri"/>
          <w:b w:val="0"/>
          <w:color w:val="334155"/>
          <w:sz w:val="21"/>
        </w:rPr>
        <w:t>7. Liquidation - Pièces justificatives</w:t>
      </w:r>
    </w:p>
    <w:p>
      <w:pPr>
        <w:pStyle w:val="ListBullet"/>
        <w:ind w:left="360"/>
      </w:pPr>
      <w:r>
        <w:rPr>
          <w:rFonts w:ascii="Calibri" w:hAnsi="Calibri" w:eastAsia="Calibri"/>
          <w:b w:val="0"/>
          <w:color w:val="334155"/>
          <w:sz w:val="21"/>
        </w:rPr>
        <w:t>8. Récupération TOMPRO</w:t>
      </w:r>
    </w:p>
    <w:p>
      <w:pPr>
        <w:pStyle w:val="ListBullet"/>
        <w:ind w:left="360"/>
      </w:pPr>
      <w:r>
        <w:rPr>
          <w:rFonts w:ascii="Calibri" w:hAnsi="Calibri" w:eastAsia="Calibri"/>
          <w:b w:val="0"/>
          <w:color w:val="334155"/>
          <w:sz w:val="21"/>
        </w:rPr>
        <w:t>9. Import de fichier de liquidations</w:t>
      </w:r>
    </w:p>
    <w:p>
      <w:pPr>
        <w:pStyle w:val="ListBullet"/>
        <w:ind w:left="360"/>
      </w:pPr>
      <w:r>
        <w:rPr>
          <w:rFonts w:ascii="Calibri" w:hAnsi="Calibri" w:eastAsia="Calibri"/>
          <w:b w:val="0"/>
          <w:color w:val="334155"/>
          <w:sz w:val="21"/>
        </w:rPr>
        <w:t>10. Récupération depuis SoftDocs</w:t>
      </w:r>
    </w:p>
    <w:p>
      <w:pPr>
        <w:pStyle w:val="ListBullet"/>
        <w:ind w:left="360"/>
      </w:pPr>
      <w:r>
        <w:rPr>
          <w:rFonts w:ascii="Calibri" w:hAnsi="Calibri" w:eastAsia="Calibri"/>
          <w:b w:val="0"/>
          <w:color w:val="334155"/>
          <w:sz w:val="21"/>
        </w:rPr>
        <w:t>11. Liste des paiements</w:t>
      </w:r>
    </w:p>
    <w:p>
      <w:pPr>
        <w:pStyle w:val="ListBullet"/>
        <w:ind w:left="360"/>
      </w:pPr>
      <w:r>
        <w:rPr>
          <w:rFonts w:ascii="Calibri" w:hAnsi="Calibri" w:eastAsia="Calibri"/>
          <w:b w:val="0"/>
          <w:color w:val="334155"/>
          <w:sz w:val="21"/>
        </w:rPr>
        <w:t>12. Récupération des liquidations clôturées vers les paiements</w:t>
      </w:r>
    </w:p>
    <w:p>
      <w:pPr>
        <w:pStyle w:val="ListBullet"/>
        <w:ind w:left="360"/>
      </w:pPr>
      <w:r>
        <w:rPr>
          <w:rFonts w:ascii="Calibri" w:hAnsi="Calibri" w:eastAsia="Calibri"/>
          <w:b w:val="0"/>
          <w:color w:val="334155"/>
          <w:sz w:val="21"/>
        </w:rPr>
        <w:t>13. Sélection d'un paiement</w:t>
      </w:r>
    </w:p>
    <w:p>
      <w:pPr>
        <w:pStyle w:val="ListBullet"/>
        <w:ind w:left="360"/>
      </w:pPr>
      <w:r>
        <w:rPr>
          <w:rFonts w:ascii="Calibri" w:hAnsi="Calibri" w:eastAsia="Calibri"/>
          <w:b w:val="0"/>
          <w:color w:val="334155"/>
          <w:sz w:val="21"/>
        </w:rPr>
        <w:t>14. Choix de l'opérateur de paiement</w:t>
      </w:r>
    </w:p>
    <w:p>
      <w:pPr>
        <w:pStyle w:val="ListBullet"/>
        <w:ind w:left="360"/>
      </w:pPr>
      <w:r>
        <w:rPr>
          <w:rFonts w:ascii="Calibri" w:hAnsi="Calibri" w:eastAsia="Calibri"/>
          <w:b w:val="0"/>
          <w:color w:val="334155"/>
          <w:sz w:val="21"/>
        </w:rPr>
        <w:t>15. Confirmation du paiement</w:t>
      </w:r>
    </w:p>
    <w:p>
      <w:pPr>
        <w:pStyle w:val="ListBullet"/>
        <w:ind w:left="360"/>
      </w:pPr>
      <w:r>
        <w:rPr>
          <w:rFonts w:ascii="Calibri" w:hAnsi="Calibri" w:eastAsia="Calibri"/>
          <w:b w:val="0"/>
          <w:color w:val="334155"/>
          <w:sz w:val="21"/>
        </w:rPr>
        <w:t>16. Génération fichier banque</w:t>
      </w:r>
    </w:p>
    <w:p>
      <w:pPr>
        <w:pStyle w:val="ListBullet"/>
        <w:ind w:left="360"/>
      </w:pPr>
      <w:r>
        <w:rPr>
          <w:rFonts w:ascii="Calibri" w:hAnsi="Calibri" w:eastAsia="Calibri"/>
          <w:b w:val="0"/>
          <w:color w:val="334155"/>
          <w:sz w:val="21"/>
        </w:rPr>
        <w:t>17. Paramétrage - Nature de remise</w:t>
      </w:r>
    </w:p>
    <w:p>
      <w:pPr>
        <w:pStyle w:val="ListBullet"/>
        <w:ind w:left="360"/>
      </w:pPr>
      <w:r>
        <w:rPr>
          <w:rFonts w:ascii="Calibri" w:hAnsi="Calibri" w:eastAsia="Calibri"/>
          <w:b w:val="0"/>
          <w:color w:val="334155"/>
          <w:sz w:val="21"/>
        </w:rPr>
        <w:t>18. Fenêtre de sélection des natures de remise</w:t>
      </w:r>
    </w:p>
    <w:p>
      <w:pPr>
        <w:pStyle w:val="ListBullet"/>
        <w:ind w:left="360"/>
      </w:pPr>
      <w:r>
        <w:rPr>
          <w:rFonts w:ascii="Calibri" w:hAnsi="Calibri" w:eastAsia="Calibri"/>
          <w:b w:val="0"/>
          <w:color w:val="334155"/>
          <w:sz w:val="21"/>
        </w:rPr>
        <w:t>19. Paramétrage - Balises XML</w:t>
      </w:r>
    </w:p>
    <w:p>
      <w:pPr>
        <w:pStyle w:val="ListBullet"/>
        <w:ind w:left="360"/>
      </w:pPr>
      <w:r>
        <w:rPr>
          <w:rFonts w:ascii="Calibri" w:hAnsi="Calibri" w:eastAsia="Calibri"/>
          <w:b w:val="0"/>
          <w:color w:val="334155"/>
          <w:sz w:val="21"/>
        </w:rPr>
        <w:t>20. Ajout d'une balise XML</w:t>
      </w:r>
    </w:p>
    <w:p>
      <w:pPr>
        <w:pStyle w:val="ListBullet"/>
        <w:ind w:left="360"/>
      </w:pPr>
      <w:r>
        <w:rPr>
          <w:rFonts w:ascii="Calibri" w:hAnsi="Calibri" w:eastAsia="Calibri"/>
          <w:b w:val="0"/>
          <w:color w:val="334155"/>
          <w:sz w:val="21"/>
        </w:rPr>
        <w:t>21. Paramétrage - Mappage XML Banques</w:t>
      </w:r>
    </w:p>
    <w:p>
      <w:pPr>
        <w:pStyle w:val="ListBullet"/>
        <w:ind w:left="360"/>
      </w:pPr>
      <w:r>
        <w:rPr>
          <w:rFonts w:ascii="Calibri" w:hAnsi="Calibri" w:eastAsia="Calibri"/>
          <w:b w:val="0"/>
          <w:color w:val="334155"/>
          <w:sz w:val="21"/>
        </w:rPr>
        <w:t>22. Ajout ou modification d'un mappage</w:t>
      </w:r>
    </w:p>
    <w:p>
      <w:pPr>
        <w:pStyle w:val="ListBullet"/>
        <w:ind w:left="360"/>
      </w:pPr>
      <w:r>
        <w:rPr>
          <w:rFonts w:ascii="Calibri" w:hAnsi="Calibri" w:eastAsia="Calibri"/>
          <w:b w:val="0"/>
          <w:color w:val="334155"/>
          <w:sz w:val="21"/>
        </w:rPr>
        <w:t>23. États &amp; Rapports - Tableau de bord KPI</w:t>
      </w:r>
    </w:p>
    <w:p>
      <w:pPr>
        <w:pStyle w:val="ListBullet"/>
        <w:ind w:left="360"/>
      </w:pPr>
      <w:r>
        <w:rPr>
          <w:rFonts w:ascii="Calibri" w:hAnsi="Calibri" w:eastAsia="Calibri"/>
          <w:b w:val="0"/>
          <w:color w:val="334155"/>
          <w:sz w:val="21"/>
        </w:rPr>
        <w:t>24. États &amp; Rapports - État des liquidations</w:t>
      </w:r>
    </w:p>
    <w:p>
      <w:pPr>
        <w:pStyle w:val="ListBullet"/>
        <w:ind w:left="360"/>
      </w:pPr>
      <w:r>
        <w:rPr>
          <w:rFonts w:ascii="Calibri" w:hAnsi="Calibri" w:eastAsia="Calibri"/>
          <w:b w:val="0"/>
          <w:color w:val="334155"/>
          <w:sz w:val="21"/>
        </w:rPr>
        <w:t>25. États &amp; Rapports - État des générations</w:t>
      </w:r>
    </w:p>
    <w:p>
      <w:pPr>
        <w:pStyle w:val="ListBullet"/>
        <w:ind w:left="360"/>
      </w:pPr>
      <w:r>
        <w:rPr>
          <w:rFonts w:ascii="Calibri" w:hAnsi="Calibri" w:eastAsia="Calibri"/>
          <w:b w:val="0"/>
          <w:color w:val="334155"/>
          <w:sz w:val="21"/>
        </w:rPr>
        <w:t>26. États &amp; Rapports - État des paiements</w:t>
      </w:r>
    </w:p>
    <w:p>
      <w:pPr>
        <w:pStyle w:val="ListBullet"/>
        <w:ind w:left="360"/>
      </w:pPr>
      <w:r>
        <w:rPr>
          <w:rFonts w:ascii="Calibri" w:hAnsi="Calibri" w:eastAsia="Calibri"/>
          <w:b w:val="0"/>
          <w:color w:val="334155"/>
          <w:sz w:val="21"/>
        </w:rPr>
        <w:t>27. États &amp; Rapports - État par fournisseur</w:t>
      </w:r>
    </w:p>
    <w:p>
      <w:pPr>
        <w:pStyle w:val="ListBullet"/>
        <w:ind w:left="360"/>
      </w:pPr>
      <w:r>
        <w:rPr>
          <w:rFonts w:ascii="Calibri" w:hAnsi="Calibri" w:eastAsia="Calibri"/>
          <w:b w:val="0"/>
          <w:color w:val="334155"/>
          <w:sz w:val="21"/>
        </w:rPr>
        <w:t>28. États &amp; Rapports - État par projet et site</w:t>
      </w:r>
    </w:p>
    <w:p>
      <w:pPr>
        <w:pStyle w:val="ListBullet"/>
        <w:ind w:left="360"/>
      </w:pPr>
      <w:r>
        <w:rPr>
          <w:rFonts w:ascii="Calibri" w:hAnsi="Calibri" w:eastAsia="Calibri"/>
          <w:b w:val="0"/>
          <w:color w:val="334155"/>
          <w:sz w:val="21"/>
        </w:rPr>
        <w:t>29. Utilisateurs SoftPaiement - Liste</w:t>
      </w:r>
    </w:p>
    <w:p>
      <w:pPr>
        <w:pStyle w:val="ListBullet"/>
        <w:ind w:left="360"/>
      </w:pPr>
      <w:r>
        <w:rPr>
          <w:rFonts w:ascii="Calibri" w:hAnsi="Calibri" w:eastAsia="Calibri"/>
          <w:b w:val="0"/>
          <w:color w:val="334155"/>
          <w:sz w:val="21"/>
        </w:rPr>
        <w:t>30. Utilisateur - Informations générales</w:t>
      </w:r>
    </w:p>
    <w:p>
      <w:pPr>
        <w:pStyle w:val="ListBullet"/>
        <w:ind w:left="360"/>
      </w:pPr>
      <w:r>
        <w:rPr>
          <w:rFonts w:ascii="Calibri" w:hAnsi="Calibri" w:eastAsia="Calibri"/>
          <w:b w:val="0"/>
          <w:color w:val="334155"/>
          <w:sz w:val="21"/>
        </w:rPr>
        <w:t>31. Utilisateur - Droits SoftPaiement</w:t>
      </w:r>
    </w:p>
    <w:p>
      <w:pPr>
        <w:pStyle w:val="ListBullet"/>
        <w:ind w:left="360"/>
      </w:pPr>
      <w:r>
        <w:rPr>
          <w:rFonts w:ascii="Calibri" w:hAnsi="Calibri" w:eastAsia="Calibri"/>
          <w:b w:val="0"/>
          <w:color w:val="334155"/>
          <w:sz w:val="21"/>
        </w:rPr>
        <w:t>32. Utilisateur - Projets et sites</w:t>
      </w:r>
    </w:p>
    <w:p>
      <w:pPr>
        <w:pStyle w:val="ListBullet"/>
        <w:ind w:left="360"/>
      </w:pPr>
      <w:r>
        <w:rPr>
          <w:rFonts w:ascii="Calibri" w:hAnsi="Calibri" w:eastAsia="Calibri"/>
          <w:b w:val="0"/>
          <w:color w:val="334155"/>
          <w:sz w:val="21"/>
        </w:rPr>
        <w:t>33. Parcours utilisateur complet</w:t>
      </w:r>
    </w:p>
    <w:p>
      <w:pPr>
        <w:pStyle w:val="ListBullet"/>
        <w:ind w:left="360"/>
      </w:pPr>
      <w:r>
        <w:rPr>
          <w:rFonts w:ascii="Calibri" w:hAnsi="Calibri" w:eastAsia="Calibri"/>
          <w:b w:val="0"/>
          <w:color w:val="334155"/>
          <w:sz w:val="21"/>
        </w:rPr>
        <w:t>34. Bonnes pratiques d'utilisation</w:t>
      </w:r>
    </w:p>
    <w:p>
      <w:pPr>
        <w:pStyle w:val="ListBullet"/>
        <w:ind w:left="360"/>
      </w:pPr>
      <w:r>
        <w:rPr>
          <w:rFonts w:ascii="Calibri" w:hAnsi="Calibri" w:eastAsia="Calibri"/>
          <w:b w:val="0"/>
          <w:color w:val="334155"/>
          <w:sz w:val="21"/>
        </w:rPr>
        <w:t>35. Glossaire fonctionnel</w:t>
      </w:r>
    </w:p>
    <w:p>
      <w:r>
        <w:br w:type="page"/>
      </w:r>
    </w:p>
    <w:p>
      <w:pPr>
        <w:pStyle w:val="Heading2"/>
        <w:keepNext/>
      </w:pPr>
      <w:r>
        <w:t>1. Présentation générale du module</w:t>
      </w:r>
    </w:p>
    <w:p>
      <w:r>
        <w:rPr>
          <w:rFonts w:ascii="Calibri" w:hAnsi="Calibri" w:eastAsia="Calibri"/>
        </w:rPr>
        <w:t xml:space="preserve">SoftPaiement, affiché dans la maquette sous le nom </w:t>
      </w:r>
      <w:r>
        <w:rPr>
          <w:rFonts w:ascii="Calibri" w:hAnsi="Calibri" w:eastAsia="Calibri"/>
          <w:b/>
        </w:rPr>
        <w:t>Soft E-paiement</w:t>
      </w:r>
      <w:r>
        <w:rPr>
          <w:rFonts w:ascii="Calibri" w:hAnsi="Calibri" w:eastAsia="Calibri"/>
        </w:rPr>
        <w:t>, est le module utilisé pour suivre les liquidations, préparer les ordres de paiement, initier un paiement mobile, générer des fichiers bancaires XML et consulter les états de pilotage.</w:t>
      </w:r>
    </w:p>
    <w:p>
      <w:r>
        <w:rPr>
          <w:rFonts w:ascii="Calibri" w:hAnsi="Calibri" w:eastAsia="Calibri"/>
        </w:rPr>
        <w:t>Le module intervient après la validation documentaire et financière. Un document validé dans SoftDocs peut devenir une liquidation, la liquidation peut ensuite être clôturée, puis récupérée dans la liste des paiements. Les paramètres de nature de remise, de balises XML et de mappage bancaire permettent de préparer les fichiers de paiement attendus par les banques.</w:t>
      </w:r>
    </w:p>
    <w:p>
      <w:r>
        <w:rPr>
          <w:rFonts w:ascii="Calibri" w:hAnsi="Calibri" w:eastAsia="Calibri"/>
        </w:rPr>
        <w:t>Les utilisateurs principaux sont les gestionnaires financiers, les comptables, les validateurs de liquidation, les responsables financiers, les administrateurs fonctionnels et les utilisateurs de consultation.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utilisateur</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Utilisation principale</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Écrans concernés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Gestionnaire financier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Créer, compléter et clôturer les liquidations, récupérer les documents SoftDocs, préparer les paiements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Liquidations, Liste des paiements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Comptable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Saisir les imputations, contrôler les montants, synchroniser avec TOMPRO</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Liquidations, États liquidations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Responsable financier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Suivre les paiements, vérifier les montants et les statuts, consulter les états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Tableau de bord, États &amp; Rapports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Administrateur SoftPaiement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Paramétrer les natures de remise, les balises XML, les banques et les droits utilisateurs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Paramétrage, Utilisateurs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Utilisateur consultation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Consulter les tableaux de bord et rapports sans modifier les données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Tableau de bord, États &amp; Rapports</w:t>
            </w:r>
          </w:p>
        </w:tc>
      </w:tr>
    </w:tbl>
    <w:p>
      <w:pPr>
        <w:spacing w:after="40"/>
      </w:pPr>
    </w:p>
    <w:p>
      <w:pPr>
        <w:pStyle w:val="Heading2"/>
        <w:keepNext/>
      </w:pPr>
      <w:r>
        <w:t>2. Repères fonctionnels et enchaînement global</w:t>
      </w:r>
    </w:p>
    <w:p>
      <w:r>
        <w:rPr>
          <w:rFonts w:ascii="Calibri" w:hAnsi="Calibri" w:eastAsia="Calibri"/>
        </w:rPr>
        <w:t>Le parcours standard est le suivant :</w:t>
      </w:r>
    </w:p>
    <w:p>
      <w:pPr>
        <w:pStyle w:val="ListNumber"/>
      </w:pPr>
      <w:r>
        <w:rPr>
          <w:rFonts w:ascii="Calibri" w:hAnsi="Calibri" w:eastAsia="Calibri"/>
        </w:rPr>
        <w:t xml:space="preserve">Un document est validé dans SoftDocs et peut porter le statut </w:t>
      </w:r>
      <w:r>
        <w:rPr>
          <w:rFonts w:ascii="Calibri" w:hAnsi="Calibri" w:eastAsia="Calibri"/>
          <w:b/>
        </w:rPr>
        <w:t>BON À PAYER</w:t>
      </w:r>
      <w:r>
        <w:rPr>
          <w:rFonts w:ascii="Calibri" w:hAnsi="Calibri" w:eastAsia="Calibri"/>
        </w:rPr>
        <w:t>.</w:t>
      </w:r>
    </w:p>
    <w:p>
      <w:pPr>
        <w:pStyle w:val="ListNumber"/>
      </w:pPr>
      <w:r>
        <w:rPr>
          <w:rFonts w:ascii="Calibri" w:hAnsi="Calibri" w:eastAsia="Calibri"/>
        </w:rPr>
        <w:t xml:space="preserve">Le gestionnaire récupère ce document dans l'écran </w:t>
      </w:r>
      <w:r>
        <w:rPr>
          <w:rFonts w:ascii="Calibri" w:hAnsi="Calibri" w:eastAsia="Calibri"/>
          <w:b/>
        </w:rPr>
        <w:t>Liquidations</w:t>
      </w:r>
      <w:r>
        <w:rPr>
          <w:rFonts w:ascii="Calibri" w:hAnsi="Calibri" w:eastAsia="Calibri"/>
        </w:rPr>
        <w:t>, ou saisit une liquidation manuellement.</w:t>
      </w:r>
    </w:p>
    <w:p>
      <w:pPr>
        <w:pStyle w:val="ListNumber"/>
      </w:pPr>
      <w:r>
        <w:rPr>
          <w:rFonts w:ascii="Calibri" w:hAnsi="Calibri" w:eastAsia="Calibri"/>
        </w:rPr>
        <w:t>La liquidation est complétée avec ses informations de facture, ses imputations et ses pièces justificatives.</w:t>
      </w:r>
    </w:p>
    <w:p>
      <w:pPr>
        <w:pStyle w:val="ListNumber"/>
      </w:pPr>
      <w:r>
        <w:rPr>
          <w:rFonts w:ascii="Calibri" w:hAnsi="Calibri" w:eastAsia="Calibri"/>
        </w:rPr>
        <w:t>La liquidation est synchronisée avec TOMPRO si nécessaire, puis clôturée.</w:t>
      </w:r>
    </w:p>
    <w:p>
      <w:pPr>
        <w:pStyle w:val="ListNumber"/>
      </w:pPr>
      <w:r>
        <w:rPr>
          <w:rFonts w:ascii="Calibri" w:hAnsi="Calibri" w:eastAsia="Calibri"/>
        </w:rPr>
        <w:t xml:space="preserve">Une liquidation clôturée peut être récupérée dans la </w:t>
      </w:r>
      <w:r>
        <w:rPr>
          <w:rFonts w:ascii="Calibri" w:hAnsi="Calibri" w:eastAsia="Calibri"/>
          <w:b/>
        </w:rPr>
        <w:t>Liste des paiements</w:t>
      </w:r>
      <w:r>
        <w:rPr>
          <w:rFonts w:ascii="Calibri" w:hAnsi="Calibri" w:eastAsia="Calibri"/>
        </w:rPr>
        <w:t>.</w:t>
      </w:r>
    </w:p>
    <w:p>
      <w:pPr>
        <w:pStyle w:val="ListNumber"/>
      </w:pPr>
      <w:r>
        <w:rPr>
          <w:rFonts w:ascii="Calibri" w:hAnsi="Calibri" w:eastAsia="Calibri"/>
        </w:rPr>
        <w:t>Un paiement peut être initié depuis la liste, à condition de sélectionner un seul paiement éligible.</w:t>
      </w:r>
    </w:p>
    <w:p>
      <w:pPr>
        <w:pStyle w:val="ListNumber"/>
      </w:pPr>
      <w:r>
        <w:rPr>
          <w:rFonts w:ascii="Calibri" w:hAnsi="Calibri" w:eastAsia="Calibri"/>
        </w:rPr>
        <w:t>Les documents bons à payer peuvent aussi être utilisés pour générer un fichier bancaire XML.</w:t>
      </w:r>
    </w:p>
    <w:p>
      <w:pPr>
        <w:pStyle w:val="ListNumber"/>
      </w:pPr>
      <w:r>
        <w:rPr>
          <w:rFonts w:ascii="Calibri" w:hAnsi="Calibri" w:eastAsia="Calibri"/>
        </w:rPr>
        <w:t>Les rapports permettent de suivre l'avancement, les montants, les paiements, les fournisseurs et les sites.</w:t>
      </w:r>
    </w:p>
    <w:p>
      <w:r>
        <w:rPr>
          <w:rFonts w:ascii="Calibri" w:hAnsi="Calibri" w:eastAsia="Calibri"/>
        </w:rPr>
        <w:t>Les relations importantes à retenir :</w:t>
      </w:r>
    </w:p>
    <w:p>
      <w:pPr>
        <w:pStyle w:val="ListBullet"/>
      </w:pPr>
      <w:r>
        <w:rPr>
          <w:rFonts w:ascii="Calibri" w:hAnsi="Calibri" w:eastAsia="Calibri"/>
        </w:rPr>
        <w:t xml:space="preserve">L'écran </w:t>
      </w:r>
      <w:r>
        <w:rPr>
          <w:rFonts w:ascii="Calibri" w:hAnsi="Calibri" w:eastAsia="Calibri"/>
          <w:b/>
        </w:rPr>
        <w:t>Récupérer depuis SoftDocs</w:t>
      </w:r>
      <w:r>
        <w:rPr>
          <w:rFonts w:ascii="Calibri" w:hAnsi="Calibri" w:eastAsia="Calibri"/>
        </w:rPr>
        <w:t xml:space="preserve"> ne propose que les documents validés et bons à payer qui ne sont pas encore transformés en liquidation.</w:t>
      </w:r>
    </w:p>
    <w:p>
      <w:pPr>
        <w:pStyle w:val="ListBullet"/>
      </w:pPr>
      <w:r>
        <w:rPr>
          <w:rFonts w:ascii="Calibri" w:hAnsi="Calibri" w:eastAsia="Calibri"/>
        </w:rPr>
        <w:t xml:space="preserve">L'écran </w:t>
      </w:r>
      <w:r>
        <w:rPr>
          <w:rFonts w:ascii="Calibri" w:hAnsi="Calibri" w:eastAsia="Calibri"/>
          <w:b/>
        </w:rPr>
        <w:t>Liste des paiements</w:t>
      </w:r>
      <w:r>
        <w:rPr>
          <w:rFonts w:ascii="Calibri" w:hAnsi="Calibri" w:eastAsia="Calibri"/>
        </w:rPr>
        <w:t xml:space="preserve"> ne récupère que les liquidations clôturées ou déjà payées, et non encore importées dans les paiements.</w:t>
      </w:r>
    </w:p>
    <w:p>
      <w:pPr>
        <w:pStyle w:val="ListBullet"/>
      </w:pPr>
      <w:r>
        <w:rPr>
          <w:rFonts w:ascii="Calibri" w:hAnsi="Calibri" w:eastAsia="Calibri"/>
        </w:rPr>
        <w:t xml:space="preserve">Le bouton </w:t>
      </w:r>
      <w:r>
        <w:rPr>
          <w:rFonts w:ascii="Calibri" w:hAnsi="Calibri" w:eastAsia="Calibri"/>
          <w:b/>
        </w:rPr>
        <w:t>Payer</w:t>
      </w:r>
      <w:r>
        <w:rPr>
          <w:rFonts w:ascii="Calibri" w:hAnsi="Calibri" w:eastAsia="Calibri"/>
        </w:rPr>
        <w:t xml:space="preserve"> n'est utilisable que si un seul paiement est sélectionné et si ce paiement n'est ni annulé ni déjà payé.</w:t>
      </w:r>
    </w:p>
    <w:p>
      <w:pPr>
        <w:pStyle w:val="ListBullet"/>
      </w:pPr>
      <w:r>
        <w:rPr>
          <w:rFonts w:ascii="Calibri" w:hAnsi="Calibri" w:eastAsia="Calibri"/>
        </w:rPr>
        <w:t>La génération de fichier bancaire dépend du choix du schéma XML, de la nature de remise, des balises XML et du mappage banque-compte débiteur.</w:t>
      </w:r>
    </w:p>
    <w:p>
      <w:pPr>
        <w:pStyle w:val="ListBullet"/>
      </w:pPr>
      <w:r>
        <w:rPr>
          <w:rFonts w:ascii="Calibri" w:hAnsi="Calibri" w:eastAsia="Calibri"/>
        </w:rPr>
        <w:t xml:space="preserve">Les droits définis dans </w:t>
      </w:r>
      <w:r>
        <w:rPr>
          <w:rFonts w:ascii="Calibri" w:hAnsi="Calibri" w:eastAsia="Calibri"/>
          <w:b/>
        </w:rPr>
        <w:t>Utilisateurs Soft E-paiement</w:t>
      </w:r>
      <w:r>
        <w:rPr>
          <w:rFonts w:ascii="Calibri" w:hAnsi="Calibri" w:eastAsia="Calibri"/>
        </w:rPr>
        <w:t xml:space="preserve"> conditionnent l'accès aux fonctions de liquidation, paiement, génération XML et paramétrage.</w:t>
      </w:r>
    </w:p>
    <w:p>
      <w:pPr>
        <w:pStyle w:val="Heading2"/>
        <w:keepNext/>
      </w:pPr>
      <w:r>
        <w:t>3. Navigation SoftPaiement</w:t>
      </w:r>
    </w:p>
    <w:p>
      <w:r>
        <w:rPr>
          <w:rFonts w:ascii="Calibri" w:hAnsi="Calibri" w:eastAsia="Calibri"/>
        </w:rPr>
        <w:t>La barre latérale gauche permet d'accéder aux familles d'écrans :</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Menu</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 avec les autres écrans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Tableau de bord EP</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Vue de synthèse des liquidations et paiements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Reflète les liquidations et paiements créés ailleurs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Liquidations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Création, récupération, import et clôture des liquidations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Alimente la liste des paiements après clôture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Paiements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des paiements et génération de fichier banque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Reçoit les liquidations clôturées et les documents bons à payer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Paramétrage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Nature de remise, balises XML et mappage bancaire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Conditionne la génération des fichiers bancaires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États &amp; Rapports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Tableaux de bord détaillés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Exploite les liquidations et paiements existants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Utilisateurs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Gestion des accès SoftPaiement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Définit qui peut faire quelle action</w:t>
            </w:r>
          </w:p>
        </w:tc>
      </w:tr>
    </w:tbl>
    <w:p>
      <w:pPr>
        <w:spacing w:after="40"/>
      </w:pPr>
    </w:p>
    <w:p>
      <w:r>
        <w:rPr>
          <w:rFonts w:ascii="Calibri" w:hAnsi="Calibri" w:eastAsia="Calibri"/>
        </w:rPr>
        <w:t xml:space="preserve">Le bouton </w:t>
      </w:r>
      <w:r>
        <w:rPr>
          <w:rFonts w:ascii="Calibri" w:hAnsi="Calibri" w:eastAsia="Calibri"/>
          <w:b/>
        </w:rPr>
        <w:t>Changer d'application</w:t>
      </w:r>
      <w:r>
        <w:rPr>
          <w:rFonts w:ascii="Calibri" w:hAnsi="Calibri" w:eastAsia="Calibri"/>
        </w:rPr>
        <w:t xml:space="preserve"> ramène au portail d'applications SoftAppli. Il est utilisé lorsqu'un utilisateur souhaite passer à SoftDocs, SoftLibrary ou SoftSign.</w:t>
      </w:r>
    </w:p>
    <w:p>
      <w:pPr>
        <w:pStyle w:val="Heading2"/>
        <w:keepNext/>
      </w:pPr>
      <w:r>
        <w:t>4. Tableau de bord SoftPaiement</w:t>
      </w:r>
    </w:p>
    <w:p>
      <w:pPr>
        <w:keepNext/>
        <w:jc w:val="center"/>
      </w:pPr>
      <w:r>
        <w:drawing>
          <wp:inline xmlns:a="http://schemas.openxmlformats.org/drawingml/2006/main" xmlns:pic="http://schemas.openxmlformats.org/drawingml/2006/picture">
            <wp:extent cx="5715000" cy="3215473"/>
            <wp:docPr id="2" name="Picture 2"/>
            <wp:cNvGraphicFramePr>
              <a:graphicFrameLocks noChangeAspect="1"/>
            </wp:cNvGraphicFramePr>
            <a:graphic>
              <a:graphicData uri="http://schemas.openxmlformats.org/drawingml/2006/picture">
                <pic:pic>
                  <pic:nvPicPr>
                    <pic:cNvPr id="0" name="01_tableau_bord_softpaiement.png"/>
                    <pic:cNvPicPr/>
                  </pic:nvPicPr>
                  <pic:blipFill>
                    <a:blip r:embed="rId1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Tableau de bord SoftPaiement</w:t>
      </w:r>
    </w:p>
    <w:p>
      <w:pPr>
        <w:pStyle w:val="Heading3"/>
        <w:keepNext/>
      </w:pPr>
      <w:r>
        <w:t>Présentation de l'écran</w:t>
      </w:r>
    </w:p>
    <w:p>
      <w:r>
        <w:rPr>
          <w:rFonts w:ascii="Calibri" w:hAnsi="Calibri" w:eastAsia="Calibri"/>
        </w:rPr>
        <w:t>Le tableau de bord présente une vue rapide de l'activité : nombre de paiements initiés, total des liquidations, fichiers générés, liquidations en cours et montant total. Il est utilisé en début de journée ou lors d'un suivi d'activité par les responsables financiers, gestionnaires et utilisateurs de consultation.</w:t>
      </w:r>
    </w:p>
    <w:p>
      <w:pPr>
        <w:pStyle w:val="Heading3"/>
        <w:keepNext/>
      </w:pPr>
      <w:r>
        <w:t>Zones et indicateurs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et interprétation</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 avec les autres écrans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Paiements initiés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les paiements lancés depuis la liste des paiements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de paiements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met à jour après une confirmation de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Total liquidations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total de liquidations suivies dans SoftPaiement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Provient de l'écran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Fichiers générés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 transmissions ou générations réalisées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Dépend des synchronisations et générations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 cours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Liquidations qui ne sont pas finalisées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Diminue lorsque les liquidations sont clôturées, payées ou annulées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 total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Somme des montants suivis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Montant en Ariary</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Calculé à partir des liquidations disponibles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Répartition par statut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Synthèse des liquidations générées, non générées, annulées ou initiées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Badges colorés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Aide à prioriser les traitements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Tableau des résultats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Liste des liquidations visibles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Colonnes : numéro, rang, fournisseur, libellé, montants, statut, lien documentaire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d'identifier les dossiers à ouvrir ou à traiter</w:t>
            </w:r>
          </w:p>
        </w:tc>
      </w:tr>
    </w:tbl>
    <w:p>
      <w:pPr>
        <w:spacing w:after="40"/>
      </w:pPr>
    </w:p>
    <w:p>
      <w:pPr>
        <w:pStyle w:val="Heading3"/>
        <w:keepNext/>
      </w:pPr>
      <w:r>
        <w:t>Champs et filtres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par numéro de liquidation, fournisseur ou libellé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Réduit la liste affichée sans modifier les données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Tous statuts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selon le statut de liquidation ou de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choix</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Les valeurs suivent les statuts existants dans les liquidations</w:t>
            </w:r>
          </w:p>
        </w:tc>
      </w:tr>
    </w:tbl>
    <w:p>
      <w:pPr>
        <w:spacing w:after="40"/>
      </w:pPr>
    </w:p>
    <w:p>
      <w:pPr>
        <w:pStyle w:val="Heading3"/>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d'utilisation</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Nouvelle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Accéder à l'écran Liquidations pour créer une nouvelle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 pour un utilisateur autorisé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l'écran Liquidations en mode création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Effacer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Réinitialiser les filtres de recherche et de statut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lorsqu'un filtre est saisi</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à nouveau toute la liste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Détails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Consulter les informations de la ligne concernée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Disponible sur chaque ligne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Oriente l'utilisateur vers le suivi détaillé de la liquidation</w:t>
            </w:r>
          </w:p>
        </w:tc>
      </w:tr>
    </w:tbl>
    <w:p>
      <w:pPr>
        <w:spacing w:after="40"/>
      </w:pPr>
    </w:p>
    <w:p>
      <w:pPr>
        <w:pStyle w:val="Heading2"/>
        <w:keepNext/>
      </w:pPr>
      <w:r>
        <w:t>5. Liquidations - Liste</w:t>
      </w:r>
    </w:p>
    <w:p>
      <w:pPr>
        <w:keepNext/>
        <w:jc w:val="center"/>
      </w:pPr>
      <w:r>
        <w:drawing>
          <wp:inline xmlns:a="http://schemas.openxmlformats.org/drawingml/2006/main" xmlns:pic="http://schemas.openxmlformats.org/drawingml/2006/picture">
            <wp:extent cx="5715000" cy="3215473"/>
            <wp:docPr id="3" name="Picture 3"/>
            <wp:cNvGraphicFramePr>
              <a:graphicFrameLocks noChangeAspect="1"/>
            </wp:cNvGraphicFramePr>
            <a:graphic>
              <a:graphicData uri="http://schemas.openxmlformats.org/drawingml/2006/picture">
                <pic:pic>
                  <pic:nvPicPr>
                    <pic:cNvPr id="0" name="02_liquidations_liste.png"/>
                    <pic:cNvPicPr/>
                  </pic:nvPicPr>
                  <pic:blipFill>
                    <a:blip r:embed="rId1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Liste des liquidations</w:t>
      </w:r>
    </w:p>
    <w:p>
      <w:pPr>
        <w:pStyle w:val="Heading3"/>
        <w:keepNext/>
      </w:pPr>
      <w:r>
        <w:t>Présentation de l'écran</w:t>
      </w:r>
    </w:p>
    <w:p>
      <w:r>
        <w:rPr>
          <w:rFonts w:ascii="Calibri" w:hAnsi="Calibri" w:eastAsia="Calibri"/>
        </w:rPr>
        <w:t xml:space="preserve">L'écran </w:t>
      </w:r>
      <w:r>
        <w:rPr>
          <w:rFonts w:ascii="Calibri" w:hAnsi="Calibri" w:eastAsia="Calibri"/>
          <w:b/>
        </w:rPr>
        <w:t>Liquidations - Interface TOMPRO</w:t>
      </w:r>
      <w:r>
        <w:rPr>
          <w:rFonts w:ascii="Calibri" w:hAnsi="Calibri" w:eastAsia="Calibri"/>
        </w:rPr>
        <w:t xml:space="preserve"> est le point d'entrée pour créer, importer, récupérer et suivre les liquidations. Il est principalement utilisé par les gestionnaires financiers et comptables.</w:t>
      </w:r>
    </w:p>
    <w:p>
      <w:pPr>
        <w:pStyle w:val="Heading3"/>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Cartes de synthèse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liquidations, montant total, éléments payés, éléments synchronisés TOMPRO</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Lecture directe pour suivre l'activité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Tableau des liquidations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des liquidations avec site, date, marché, facture, devise et statut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Cliquer sur une ligne permet d'ouvrir ou modifier la liquidation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Colonne Actions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Regroupe les actions disponibles sur chaque liquidation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d'intervenir sur le dossier sélectionné</w:t>
            </w:r>
          </w:p>
        </w:tc>
      </w:tr>
    </w:tbl>
    <w:p>
      <w:pPr>
        <w:spacing w:after="40"/>
      </w:pPr>
    </w:p>
    <w:p>
      <w:pPr>
        <w:pStyle w:val="Heading3"/>
        <w:keepNext/>
      </w:pPr>
      <w:r>
        <w:t>Champs du tableau</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Identifiant de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numéro</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de référence dans les paiements et rapports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Site ou implantation concernée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sites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Utilisé dans les rapports par site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création ou de traitement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aux filtres et suivis chronologiques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Marché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Référence du marché ou contrat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Complète l'identification métier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Objet ou résumé de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Repris dans les rapports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 Facture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Numéro de facture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être rempli automatiquement depuis un document SoftDocs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Facture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la facture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être reprise depuis SoftDocs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Devise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Devise de référence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 MGA, USD, EUR, GBP, CHF</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Conditionne l'affichage des montants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Cours et cours USD</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Taux de conversion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Utilisé pour les montants en devise et en rapport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service fait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du service fait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au contrôle de conformité</w:t>
            </w:r>
          </w:p>
        </w:tc>
      </w:tr>
    </w:tbl>
    <w:p>
      <w:pPr>
        <w:spacing w:after="40"/>
      </w:pPr>
    </w:p>
    <w:p>
      <w:pPr>
        <w:pStyle w:val="Heading3"/>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d'utilisation</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Récupérer TOMPRO</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Lancer une synchronisation depuis TOMPRO</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Utilisateur autorisé, période choisie dans la fenêtre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Récupère ou met à jour des liquidations TOMPRO</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Importer fichier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Importer un fichier de liquidations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Un fichier Excel ou CSV doit être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Ajoute les liquidations du fichier après import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Récup SoftDocs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Récupérer des documents SoftDocs bons à payer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Des documents SoftDocs éligibles doivent exister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Crée des liquidations à partir des documents sélectionnés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Export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Exporter les informations visibles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Produit un fichier de suivi selon le format proposé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Nouvelle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Ouvrir le formulaire de création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 pour un utilisateur autorisé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le formulaire de liquidation</w:t>
            </w:r>
          </w:p>
        </w:tc>
      </w:tr>
    </w:tbl>
    <w:p>
      <w:pPr>
        <w:spacing w:after="40"/>
      </w:pPr>
    </w:p>
    <w:p>
      <w:pPr>
        <w:pStyle w:val="Heading2"/>
        <w:keepNext/>
      </w:pPr>
      <w:r>
        <w:t>6. Liquidation - Formulaire de création ou modification</w:t>
      </w:r>
    </w:p>
    <w:p>
      <w:pPr>
        <w:keepNext/>
        <w:jc w:val="center"/>
      </w:pPr>
      <w:r>
        <w:drawing>
          <wp:inline xmlns:a="http://schemas.openxmlformats.org/drawingml/2006/main" xmlns:pic="http://schemas.openxmlformats.org/drawingml/2006/picture">
            <wp:extent cx="5715000" cy="3215473"/>
            <wp:docPr id="4" name="Picture 4"/>
            <wp:cNvGraphicFramePr>
              <a:graphicFrameLocks noChangeAspect="1"/>
            </wp:cNvGraphicFramePr>
            <a:graphic>
              <a:graphicData uri="http://schemas.openxmlformats.org/drawingml/2006/picture">
                <pic:pic>
                  <pic:nvPicPr>
                    <pic:cNvPr id="0" name="02b_liquidation_formulaire.png"/>
                    <pic:cNvPicPr/>
                  </pic:nvPicPr>
                  <pic:blipFill>
                    <a:blip r:embed="rId1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Formulaire de liquidation</w:t>
      </w:r>
    </w:p>
    <w:p>
      <w:pPr>
        <w:pStyle w:val="Heading3"/>
        <w:keepNext/>
      </w:pPr>
      <w:r>
        <w:t>Présentation de l'écran</w:t>
      </w:r>
    </w:p>
    <w:p>
      <w:r>
        <w:rPr>
          <w:rFonts w:ascii="Calibri" w:hAnsi="Calibri" w:eastAsia="Calibri"/>
        </w:rPr>
        <w:t>Le formulaire permet de saisir toutes les informations nécessaires à la création ou à la mise à jour d'une liquidation. Il est utilisé lorsqu'une liquidation est créée manuellement, récupérée depuis SoftDocs ou modifiée avant clôture.</w:t>
      </w:r>
    </w:p>
    <w:p>
      <w:pPr>
        <w:pStyle w:val="Heading3"/>
        <w:keepNext/>
      </w:pPr>
      <w:r>
        <w:t>Champs principaux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le site concerné par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sites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un suivi fiable par site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le suivi chronologique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Numéro</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Numéro de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numéro</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retrouver la liquidation dans les paiements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Marché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Référence du marché ou contrat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selon le processus interne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Objet de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long</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 pour faciliter les contrôles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Document lié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Document SoftDocs associé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des documents validés et bons à payer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en saisie manuelle. Si choisi, certains champs facture sont remplis automatiquement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 Facture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Référence de la facture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être rempli automatiquement depuis le document lié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facture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la facture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être remplie automatiquement depuis le document lié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Service fait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service fait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Recommandée pour justifier le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Devise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Devise de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devises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interpréter les montants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Cours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Taux de conversion principal</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la devise n'est pas directement utilisée en Ariary</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Cours Rapport USD</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Taux utilisé pour les rapports en USD</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 pour les états consolidés</w:t>
            </w:r>
          </w:p>
        </w:tc>
      </w:tr>
    </w:tbl>
    <w:p>
      <w:pPr>
        <w:spacing w:after="40"/>
      </w:pPr>
    </w:p>
    <w:p>
      <w:pPr>
        <w:pStyle w:val="Heading3"/>
        <w:keepNext/>
      </w:pPr>
      <w:r>
        <w:t>Onglet Imputations</w:t>
      </w:r>
    </w:p>
    <w:p>
      <w:r>
        <w:rPr>
          <w:rFonts w:ascii="Calibri" w:hAnsi="Calibri" w:eastAsia="Calibri"/>
        </w:rPr>
        <w:t xml:space="preserve">L'onglet </w:t>
      </w:r>
      <w:r>
        <w:rPr>
          <w:rFonts w:ascii="Calibri" w:hAnsi="Calibri" w:eastAsia="Calibri"/>
          <w:b/>
        </w:rPr>
        <w:t>Imputations</w:t>
      </w:r>
      <w:r>
        <w:rPr>
          <w:rFonts w:ascii="Calibri" w:hAnsi="Calibri" w:eastAsia="Calibri"/>
        </w:rPr>
        <w:t xml:space="preserve"> décrit la ventilation comptable de la liquidation. Chaque ligne représente une imputation.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d'imputation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Libellé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Description de la ligne comptable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Recommandé pour comprendre la dépense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Compte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Compte comptable principal</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Code ou 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une liquidation complète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Compte auxiliaire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Compte complémentaire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Code ou 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Selon les règles comptables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Compte fournisseur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Compte lié au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Code ou 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À renseigner si le fournisseur est suivi comptablement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Auxiliaire fournisseur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Détail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Code ou 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Complète le compte fournisseur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 MGA</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Montant en Ariary</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au total de la liquidation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 USD</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Montant en dollar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Utilisé pour le rapport USD</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 devise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Montant dans la devise sélectionnée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Lié au champ Devise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Activité, financement, catégorie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Axes de suivi budgétaire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code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Utilisés pour les rapports et contrôles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PCOP, géo, plans 6 à 8</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Axes analytiques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code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Selon le plan de suivi de l'organisation</w:t>
            </w:r>
          </w:p>
        </w:tc>
      </w:tr>
    </w:tbl>
    <w:p>
      <w:pPr>
        <w:spacing w:after="40"/>
      </w:pPr>
    </w:p>
    <w:p>
      <w:pPr>
        <w:pStyle w:val="Heading3"/>
        <w:keepNext/>
      </w:pPr>
      <w:r>
        <w:t>Actions du formulaire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d'utilisation</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Nouvelle imputation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Ajouter une ligne comptable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Onglet Imputations ouvert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Ajoute une ligne à compléter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Quitter le formulaire sans poursuivre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Revient à la liste des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Enregistrer une nouvelle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Les informations principales doivent être renseignées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Ajoute la liquidation à la liste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Enregistrer les modifications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Formulaire ouvert sur une liquidation existante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Met à jour la liquidation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Synchronisation TOMPRO</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Marquer la liquidation comme synchronisée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Liquidation prête à être transmise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Renseigne le suivi TOMPRO et la date de synchronisation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Clôturer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Finaliser la liquidation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La liquidation doit être suffisamment complète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Rend la liquidation disponible pour récupération dans la liste des paiements</w:t>
            </w:r>
          </w:p>
        </w:tc>
      </w:tr>
    </w:tbl>
    <w:p>
      <w:pPr>
        <w:spacing w:after="40"/>
      </w:pPr>
    </w:p>
    <w:p>
      <w:pPr>
        <w:pStyle w:val="Heading2"/>
        <w:keepNext/>
      </w:pPr>
      <w:r>
        <w:t>7. Liquidation - Pièces justificatives</w:t>
      </w:r>
    </w:p>
    <w:p>
      <w:pPr>
        <w:keepNext/>
        <w:jc w:val="center"/>
      </w:pPr>
      <w:r>
        <w:drawing>
          <wp:inline xmlns:a="http://schemas.openxmlformats.org/drawingml/2006/main" xmlns:pic="http://schemas.openxmlformats.org/drawingml/2006/picture">
            <wp:extent cx="5715000" cy="3215473"/>
            <wp:docPr id="5" name="Picture 5"/>
            <wp:cNvGraphicFramePr>
              <a:graphicFrameLocks noChangeAspect="1"/>
            </wp:cNvGraphicFramePr>
            <a:graphic>
              <a:graphicData uri="http://schemas.openxmlformats.org/drawingml/2006/picture">
                <pic:pic>
                  <pic:nvPicPr>
                    <pic:cNvPr id="0" name="02c_liquidation_pieces_justificatives.png"/>
                    <pic:cNvPicPr/>
                  </pic:nvPicPr>
                  <pic:blipFill>
                    <a:blip r:embed="rId1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Pièces justificatives de liquidation</w:t>
      </w:r>
    </w:p>
    <w:p>
      <w:pPr>
        <w:pStyle w:val="Heading3"/>
        <w:keepNext/>
      </w:pPr>
      <w:r>
        <w:t>Présentation de l'écran</w:t>
      </w:r>
    </w:p>
    <w:p>
      <w:r>
        <w:rPr>
          <w:rFonts w:ascii="Calibri" w:hAnsi="Calibri" w:eastAsia="Calibri"/>
        </w:rPr>
        <w:t xml:space="preserve">L'onglet </w:t>
      </w:r>
      <w:r>
        <w:rPr>
          <w:rFonts w:ascii="Calibri" w:hAnsi="Calibri" w:eastAsia="Calibri"/>
          <w:b/>
        </w:rPr>
        <w:t>Pièces Justificatives</w:t>
      </w:r>
      <w:r>
        <w:rPr>
          <w:rFonts w:ascii="Calibri" w:hAnsi="Calibri" w:eastAsia="Calibri"/>
        </w:rPr>
        <w:t xml:space="preserve"> permet d'associer des documents à la liquidation : facture, bon de commande, attestation de service fait, fichier de calcul ou pièce de contrôle. Il est utilisé par les gestionnaires et comptables pour constituer un dossier complet avant clôture.</w:t>
      </w:r>
    </w:p>
    <w:p>
      <w:pPr>
        <w:pStyle w:val="Heading3"/>
        <w:keepNext/>
      </w:pPr>
      <w:r>
        <w:t>Champs et zones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Liste des pièces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les fichiers déjà associés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 de fichier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selon le processus, mais fortement recommandé avant clôture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des fichiers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Permet d'ajouter des justificatifs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PDF, Excel, Word, image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fichiers sont rattachés à la liquidation et peuvent accompagner le suivi TOMPRO</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Nombre de pièces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combien de justificatifs sont joints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met à jour après ajout ou suppression</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un fichier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Joindre une pièce justificative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Un fichier doit être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pièce apparaît dans la liste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Supprimer une pièce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Retirer un justificatif</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Une pièce doit exister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pièce n'est plus associée à la liquidation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Sauvegarder les pièces ajoutées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Formulaire ouvert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justificatifs restent liés à la liquidation</w:t>
            </w:r>
          </w:p>
        </w:tc>
      </w:tr>
    </w:tbl>
    <w:p>
      <w:pPr>
        <w:spacing w:after="40"/>
      </w:pPr>
    </w:p>
    <w:p>
      <w:pPr>
        <w:pStyle w:val="Heading2"/>
        <w:keepNext/>
      </w:pPr>
      <w:r>
        <w:t>8. Récupération TOMPRO</w:t>
      </w:r>
    </w:p>
    <w:p>
      <w:pPr>
        <w:keepNext/>
        <w:jc w:val="center"/>
      </w:pPr>
      <w:r>
        <w:drawing>
          <wp:inline xmlns:a="http://schemas.openxmlformats.org/drawingml/2006/main" xmlns:pic="http://schemas.openxmlformats.org/drawingml/2006/picture">
            <wp:extent cx="5715000" cy="3215473"/>
            <wp:docPr id="6" name="Picture 6"/>
            <wp:cNvGraphicFramePr>
              <a:graphicFrameLocks noChangeAspect="1"/>
            </wp:cNvGraphicFramePr>
            <a:graphic>
              <a:graphicData uri="http://schemas.openxmlformats.org/drawingml/2006/picture">
                <pic:pic>
                  <pic:nvPicPr>
                    <pic:cNvPr id="0" name="02d_liquidation_recuperer_tompro.png"/>
                    <pic:cNvPicPr/>
                  </pic:nvPicPr>
                  <pic:blipFill>
                    <a:blip r:embed="rId1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Récupérer TOMPRO</w:t>
      </w:r>
    </w:p>
    <w:p>
      <w:pPr>
        <w:pStyle w:val="Heading3"/>
        <w:keepNext/>
      </w:pPr>
      <w:r>
        <w:t>Présentation de l'écran</w:t>
      </w:r>
    </w:p>
    <w:p>
      <w:r>
        <w:rPr>
          <w:rFonts w:ascii="Calibri" w:hAnsi="Calibri" w:eastAsia="Calibri"/>
        </w:rPr>
        <w:t xml:space="preserve">La fenêtre </w:t>
      </w:r>
      <w:r>
        <w:rPr>
          <w:rFonts w:ascii="Calibri" w:hAnsi="Calibri" w:eastAsia="Calibri"/>
          <w:b/>
        </w:rPr>
        <w:t>Synchronisation TOMPRO</w:t>
      </w:r>
      <w:r>
        <w:rPr>
          <w:rFonts w:ascii="Calibri" w:hAnsi="Calibri" w:eastAsia="Calibri"/>
        </w:rPr>
        <w:t xml:space="preserve"> sert à récupérer des liquidations ou à mettre à jour des informations issues de TOMPRO sur une période donnée. Elle est utilisée par les comptables et gestionnaires lorsque les données comptables existent déjà dans TOMPRO.</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Période du</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début de récupération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lancer une synchronisation ciblée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Au</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fin de récupération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et doit être cohérente avec la date de début</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la fenêtre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Aucune récupération n'est lancée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Synchroniser maintenant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Lancer la récupération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Les dates de période doivent être renseignées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liquidations disponibles sur la période sont récupérées ou mises à jour</w:t>
            </w:r>
          </w:p>
        </w:tc>
      </w:tr>
    </w:tbl>
    <w:p>
      <w:pPr>
        <w:spacing w:after="40"/>
      </w:pPr>
    </w:p>
    <w:p>
      <w:r>
        <w:rPr>
          <w:rFonts w:ascii="Calibri" w:hAnsi="Calibri" w:eastAsia="Calibri"/>
        </w:rPr>
        <w:t>Une liquidation synchronisée TOMPRO est ensuite visible dans les listes et rapports avec l'indicateur de synchronisation.</w:t>
      </w:r>
    </w:p>
    <w:p>
      <w:pPr>
        <w:pStyle w:val="Heading2"/>
        <w:keepNext/>
      </w:pPr>
      <w:r>
        <w:t>9. Import de fichier de liquidations</w:t>
      </w:r>
    </w:p>
    <w:p>
      <w:pPr>
        <w:keepNext/>
        <w:jc w:val="center"/>
      </w:pPr>
      <w:r>
        <w:drawing>
          <wp:inline xmlns:a="http://schemas.openxmlformats.org/drawingml/2006/main" xmlns:pic="http://schemas.openxmlformats.org/drawingml/2006/picture">
            <wp:extent cx="5715000" cy="3215473"/>
            <wp:docPr id="7" name="Picture 7"/>
            <wp:cNvGraphicFramePr>
              <a:graphicFrameLocks noChangeAspect="1"/>
            </wp:cNvGraphicFramePr>
            <a:graphic>
              <a:graphicData uri="http://schemas.openxmlformats.org/drawingml/2006/picture">
                <pic:pic>
                  <pic:nvPicPr>
                    <pic:cNvPr id="0" name="02e_liquidation_import_excel.png"/>
                    <pic:cNvPicPr/>
                  </pic:nvPicPr>
                  <pic:blipFill>
                    <a:blip r:embed="rId1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Importer fichier</w:t>
      </w:r>
    </w:p>
    <w:p>
      <w:pPr>
        <w:pStyle w:val="Heading3"/>
        <w:keepNext/>
      </w:pPr>
      <w:r>
        <w:t>Présentation de l'écran</w:t>
      </w:r>
    </w:p>
    <w:p>
      <w:r>
        <w:rPr>
          <w:rFonts w:ascii="Calibri" w:hAnsi="Calibri" w:eastAsia="Calibri"/>
        </w:rPr>
        <w:t>L'import de fichier sert à créer ou compléter des liquidations à partir d'un fichier préparé hors du module. Il est utile lors d'une reprise de données, d'un traitement par lot ou d'un échange avec une équipe comptable.</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Zone de dépôt de fichier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Sélectionner ou déposer le fichier à importer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Excel ou CSV</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activer l'import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Fichier sélectionné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le nom et la taille du fichier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 de fichier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remplit automatiquement après sélection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Télécharger le modèle Excel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Récupérer un modèle de fichier attendu</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Lien d'action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recommandé pour éviter les erreurs de colonnes</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Importer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Importer le fichier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uniquement lorsqu'un fichier est choisi</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lignes valides sont ajoutées aux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Quitter la fenêtre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fichier sélectionné n'est pas importé</w:t>
            </w:r>
          </w:p>
        </w:tc>
      </w:tr>
    </w:tbl>
    <w:p>
      <w:pPr>
        <w:spacing w:after="40"/>
      </w:pPr>
    </w:p>
    <w:p>
      <w:r>
        <w:rPr>
          <w:rFonts w:ascii="Calibri" w:hAnsi="Calibri" w:eastAsia="Calibri"/>
        </w:rPr>
        <w:t>Si le format est invalide, un message d'erreur indique que les colonnes doivent être vérifiées.</w:t>
      </w:r>
    </w:p>
    <w:p>
      <w:pPr>
        <w:pStyle w:val="Heading2"/>
        <w:keepNext/>
      </w:pPr>
      <w:r>
        <w:t>10. Récupération depuis SoftDocs</w:t>
      </w:r>
    </w:p>
    <w:p>
      <w:pPr>
        <w:keepNext/>
        <w:jc w:val="center"/>
      </w:pPr>
      <w:r>
        <w:drawing>
          <wp:inline xmlns:a="http://schemas.openxmlformats.org/drawingml/2006/main" xmlns:pic="http://schemas.openxmlformats.org/drawingml/2006/picture">
            <wp:extent cx="5715000" cy="3215473"/>
            <wp:docPr id="8" name="Picture 8"/>
            <wp:cNvGraphicFramePr>
              <a:graphicFrameLocks noChangeAspect="1"/>
            </wp:cNvGraphicFramePr>
            <a:graphic>
              <a:graphicData uri="http://schemas.openxmlformats.org/drawingml/2006/picture">
                <pic:pic>
                  <pic:nvPicPr>
                    <pic:cNvPr id="0" name="02f_liquidation_recuperer_softdocs.png"/>
                    <pic:cNvPicPr/>
                  </pic:nvPicPr>
                  <pic:blipFill>
                    <a:blip r:embed="rId1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Récupérer depuis SoftDocs</w:t>
      </w:r>
    </w:p>
    <w:p>
      <w:pPr>
        <w:pStyle w:val="Heading3"/>
        <w:keepNext/>
      </w:pPr>
      <w:r>
        <w:t>Présentation de l'écran</w:t>
      </w:r>
    </w:p>
    <w:p>
      <w:r>
        <w:rPr>
          <w:rFonts w:ascii="Calibri" w:hAnsi="Calibri" w:eastAsia="Calibri"/>
        </w:rPr>
        <w:t xml:space="preserve">Cette fenêtre crée des liquidations à partir de documents SoftDocs déjà validés et marqués </w:t>
      </w:r>
      <w:r>
        <w:rPr>
          <w:rFonts w:ascii="Calibri" w:hAnsi="Calibri" w:eastAsia="Calibri"/>
          <w:b/>
        </w:rPr>
        <w:t>BON À PAYER</w:t>
      </w:r>
      <w:r>
        <w:rPr>
          <w:rFonts w:ascii="Calibri" w:hAnsi="Calibri" w:eastAsia="Calibri"/>
        </w:rPr>
        <w:t>. Elle fait le lien entre la validation documentaire et le traitement financier.</w:t>
      </w:r>
    </w:p>
    <w:p>
      <w:pPr>
        <w:pStyle w:val="Heading3"/>
        <w:keepNext/>
      </w:pPr>
      <w:r>
        <w:t>Zones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Documents éligibles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Liste les documents SoftDocs pouvant devenir des liquidations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documents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remplit automatiquement depuis SoftDocs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Case de sélection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les documents à importer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 moins un document doit être sélectionné pour importer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Référence document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Identifiant du document SoftDocs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Devient la référence facture ou la source de la liquidation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Fournisseur, projet et montant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Résumé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et montant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Alimente automatiquement la liquidation créée</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Importer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Créer une liquidation pour les documents choisis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Au moins un document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Ajoute les liquidations à la liste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sans récupérer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 document n'est transformé en liquidation</w:t>
            </w:r>
          </w:p>
        </w:tc>
      </w:tr>
    </w:tbl>
    <w:p>
      <w:pPr>
        <w:spacing w:after="40"/>
      </w:pPr>
    </w:p>
    <w:p>
      <w:r>
        <w:rPr>
          <w:rFonts w:ascii="Calibri" w:hAnsi="Calibri" w:eastAsia="Calibri"/>
        </w:rPr>
        <w:t>Un document déjà récupéré ou non bon à payer n'apparaît pas dans cette fenêtre. Cette règle évite les doublons et empêche de liquider un document qui n'a pas atteint le bon niveau de validation.</w:t>
      </w:r>
    </w:p>
    <w:p>
      <w:pPr>
        <w:pStyle w:val="Heading2"/>
        <w:keepNext/>
      </w:pPr>
      <w:r>
        <w:t>11. Liste des paiements</w:t>
      </w:r>
    </w:p>
    <w:p>
      <w:pPr>
        <w:keepNext/>
        <w:jc w:val="center"/>
      </w:pPr>
      <w:r>
        <w:drawing>
          <wp:inline xmlns:a="http://schemas.openxmlformats.org/drawingml/2006/main" xmlns:pic="http://schemas.openxmlformats.org/drawingml/2006/picture">
            <wp:extent cx="5715000" cy="3215473"/>
            <wp:docPr id="9" name="Picture 9"/>
            <wp:cNvGraphicFramePr>
              <a:graphicFrameLocks noChangeAspect="1"/>
            </wp:cNvGraphicFramePr>
            <a:graphic>
              <a:graphicData uri="http://schemas.openxmlformats.org/drawingml/2006/picture">
                <pic:pic>
                  <pic:nvPicPr>
                    <pic:cNvPr id="0" name="03_liste_paiements.png"/>
                    <pic:cNvPicPr/>
                  </pic:nvPicPr>
                  <pic:blipFill>
                    <a:blip r:embed="rId1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Liste des paiements</w:t>
      </w:r>
    </w:p>
    <w:p>
      <w:pPr>
        <w:pStyle w:val="Heading3"/>
        <w:keepNext/>
      </w:pPr>
      <w:r>
        <w:t>Présentation de l'écran</w:t>
      </w:r>
    </w:p>
    <w:p>
      <w:r>
        <w:rPr>
          <w:rFonts w:ascii="Calibri" w:hAnsi="Calibri" w:eastAsia="Calibri"/>
        </w:rPr>
        <w:t xml:space="preserve">La </w:t>
      </w:r>
      <w:r>
        <w:rPr>
          <w:rFonts w:ascii="Calibri" w:hAnsi="Calibri" w:eastAsia="Calibri"/>
          <w:b/>
        </w:rPr>
        <w:t>Liste des paiements</w:t>
      </w:r>
      <w:r>
        <w:rPr>
          <w:rFonts w:ascii="Calibri" w:hAnsi="Calibri" w:eastAsia="Calibri"/>
        </w:rPr>
        <w:t xml:space="preserve"> permet de suivre les ordres de paiement bancaires ou mobiles. Elle est utilisée après la clôture des liquidations, au moment où un paiement peut être préparé ou initié.</w:t>
      </w:r>
    </w:p>
    <w:p>
      <w:pPr>
        <w:pStyle w:val="Heading3"/>
        <w:keepNext/>
      </w:pPr>
      <w:r>
        <w:t>Champs, filtres et colonnes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les paiements par site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à choix multiples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Les sites viennent des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Banques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selon la banque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à choix multiples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Sert au contrôle des ordres bancaires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Fournisseurs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selon le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à choix multiples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Permet un suivi fournisseur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Case de sélection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Sélectionner un paiement à traiter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Une seule ligne doit être sélectionnée pour lancer un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Référence de la liquidation source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Relie le paiement à l'écran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Statut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État du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Badge coloré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Conditionne l'activation du bouton Payer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Journal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Journal ou canal de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Mis à jour après l'initiation d'un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de génération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création du fichier ou de l'initiation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 ou tiret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renseigne après action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 du fichier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Fichier généré ou canal utilisé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indiquer le fichier bancaire ou le paiement initié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Notifications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Messages ou indicateurs associés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badge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Aide au suivi opérationnel</w:t>
            </w:r>
          </w:p>
        </w:tc>
      </w:tr>
    </w:tbl>
    <w:p>
      <w:pPr>
        <w:spacing w:after="40"/>
      </w:pPr>
    </w:p>
    <w:p>
      <w:pPr>
        <w:pStyle w:val="Heading3"/>
        <w:keepNext/>
      </w:pPr>
      <w:r>
        <w:t>Statuts de paiement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Statut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 fonctionnelle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Le paiement est annulé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bouton Payer n'est pas utilisable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Non generer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Le paiement est en attente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être sélectionné pour initier un paiement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Generer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Un fichier ou ordre a été généré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 suivi bancaire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Paiement initie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Le paiement mobile a été lancé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Visible dans le tableau de bord et les états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Paye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Le paiement est terminé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paiement ne peut plus être relancé</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Recuperer liquidation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Importer des liquidations clôturées dans la liste des paiements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Des liquidations clôturées ou payées non encore importées doivent exister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Crée des lignes de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Payer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Ouvrir le choix d'opérateur mobile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Un seul paiement sélectionné, statut ni annulé ni payé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la fenêtre de choix d'opérateur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Effacer filtres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Réinitialiser les filtres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si un filtre est appliqué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Réaffiche tous les paiements</w:t>
            </w:r>
          </w:p>
        </w:tc>
      </w:tr>
    </w:tbl>
    <w:p>
      <w:pPr>
        <w:spacing w:after="40"/>
      </w:pPr>
    </w:p>
    <w:p>
      <w:pPr>
        <w:pStyle w:val="Heading2"/>
        <w:keepNext/>
      </w:pPr>
      <w:r>
        <w:t>12. Récupération des liquidations clôturées vers les paiements</w:t>
      </w:r>
    </w:p>
    <w:p>
      <w:pPr>
        <w:keepNext/>
        <w:jc w:val="center"/>
      </w:pPr>
      <w:r>
        <w:drawing>
          <wp:inline xmlns:a="http://schemas.openxmlformats.org/drawingml/2006/main" xmlns:pic="http://schemas.openxmlformats.org/drawingml/2006/picture">
            <wp:extent cx="5715000" cy="3215473"/>
            <wp:docPr id="10" name="Picture 10"/>
            <wp:cNvGraphicFramePr>
              <a:graphicFrameLocks noChangeAspect="1"/>
            </wp:cNvGraphicFramePr>
            <a:graphic>
              <a:graphicData uri="http://schemas.openxmlformats.org/drawingml/2006/picture">
                <pic:pic>
                  <pic:nvPicPr>
                    <pic:cNvPr id="0" name="03b_paiements_recuperer_liquidations.png"/>
                    <pic:cNvPicPr/>
                  </pic:nvPicPr>
                  <pic:blipFill>
                    <a:blip r:embed="rId1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Récupérer liquidations clôturées</w:t>
      </w:r>
    </w:p>
    <w:p>
      <w:pPr>
        <w:pStyle w:val="Heading3"/>
        <w:keepNext/>
      </w:pPr>
      <w:r>
        <w:t>Présentation de l'écran</w:t>
      </w:r>
    </w:p>
    <w:p>
      <w:r>
        <w:rPr>
          <w:rFonts w:ascii="Calibri" w:hAnsi="Calibri" w:eastAsia="Calibri"/>
        </w:rPr>
        <w:t>Cette fenêtre récupère dans les paiements les liquidations finalisées. Elle matérialise le passage entre la clôture d'une liquidation et la préparation effective de son paiement.</w:t>
      </w:r>
    </w:p>
    <w:p>
      <w:pPr>
        <w:pStyle w:val="Heading3"/>
        <w:keepNext/>
      </w:pPr>
      <w:r>
        <w:t>Zones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Liste des liquidations clôturées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les liquidations récupérables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dossiers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remplit depuis l'écran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Case de sélection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les liquidations à importer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 moins une sélection est nécessaire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Tout sélectionner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Sélectionner toutes les liquidations disponibles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Action globale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un traitement par lot</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Importer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Créer les paiements à partir des liquidations choisies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Au moins une liquidation sélectionnée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paiements apparaissent dans la liste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la fenêtre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Aucune ligne de paiement n'est créée</w:t>
            </w:r>
          </w:p>
        </w:tc>
      </w:tr>
    </w:tbl>
    <w:p>
      <w:pPr>
        <w:spacing w:after="40"/>
      </w:pPr>
    </w:p>
    <w:p>
      <w:r>
        <w:rPr>
          <w:rFonts w:ascii="Calibri" w:hAnsi="Calibri" w:eastAsia="Calibri"/>
        </w:rPr>
        <w:t>Une liquidation non clôturée n'est pas proposée. Une liquidation déjà importée n'est pas proposée à nouveau.</w:t>
      </w:r>
    </w:p>
    <w:p>
      <w:pPr>
        <w:pStyle w:val="Heading2"/>
        <w:keepNext/>
      </w:pPr>
      <w:r>
        <w:t>13. Sélection d'un paiement</w:t>
      </w:r>
    </w:p>
    <w:p>
      <w:pPr>
        <w:keepNext/>
        <w:jc w:val="center"/>
      </w:pPr>
      <w:r>
        <w:drawing>
          <wp:inline xmlns:a="http://schemas.openxmlformats.org/drawingml/2006/main" xmlns:pic="http://schemas.openxmlformats.org/drawingml/2006/picture">
            <wp:extent cx="5715000" cy="3215473"/>
            <wp:docPr id="11" name="Picture 11"/>
            <wp:cNvGraphicFramePr>
              <a:graphicFrameLocks noChangeAspect="1"/>
            </wp:cNvGraphicFramePr>
            <a:graphic>
              <a:graphicData uri="http://schemas.openxmlformats.org/drawingml/2006/picture">
                <pic:pic>
                  <pic:nvPicPr>
                    <pic:cNvPr id="0" name="03c_paiements_selection_payer.png"/>
                    <pic:cNvPicPr/>
                  </pic:nvPicPr>
                  <pic:blipFill>
                    <a:blip r:embed="rId1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Sélection d'un paiement</w:t>
      </w:r>
    </w:p>
    <w:p>
      <w:pPr>
        <w:pStyle w:val="Heading3"/>
        <w:keepNext/>
      </w:pPr>
      <w:r>
        <w:t>Présentation de l'écran</w:t>
      </w:r>
    </w:p>
    <w:p>
      <w:r>
        <w:rPr>
          <w:rFonts w:ascii="Calibri" w:hAnsi="Calibri" w:eastAsia="Calibri"/>
        </w:rPr>
        <w:t>Avant d'initier un paiement, l'utilisateur doit sélectionner une seule ligne éligible. Ce contrôle évite de lancer plusieurs paiements en même temps ou de relancer un paiement déjà finalisé.</w:t>
      </w:r>
    </w:p>
    <w:p>
      <w:pPr>
        <w:pStyle w:val="Heading3"/>
        <w:keepNext/>
      </w:pPr>
      <w:r>
        <w:t>Règles d'activation du bouton Payer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Situation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 Payer</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Message fonctionnel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Aucun paiement sélectionné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Inactif</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L'utilisateur doit sélectionner un paiement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Un paiement éligible sélectionné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Actif</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choix d'opérateur peut être ouvert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Plusieurs paiements sélectionnés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Inactif</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seul paiement peut être payé à la fois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Paiement annulé sélectionné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Inactif</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paiement annulé ne peut pas être lancé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Paiement déjà payé sélectionné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Inactif</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paiement payé ne peut pas être relancé</w:t>
            </w:r>
          </w:p>
        </w:tc>
      </w:tr>
    </w:tbl>
    <w:p>
      <w:pPr>
        <w:spacing w:after="40"/>
      </w:pPr>
    </w:p>
    <w:p>
      <w:pPr>
        <w:pStyle w:val="Heading2"/>
        <w:keepNext/>
      </w:pPr>
      <w:r>
        <w:t>14. Choix de l'opérateur de paiement</w:t>
      </w:r>
    </w:p>
    <w:p>
      <w:pPr>
        <w:keepNext/>
        <w:jc w:val="center"/>
      </w:pPr>
      <w:r>
        <w:drawing>
          <wp:inline xmlns:a="http://schemas.openxmlformats.org/drawingml/2006/main" xmlns:pic="http://schemas.openxmlformats.org/drawingml/2006/picture">
            <wp:extent cx="5715000" cy="3215473"/>
            <wp:docPr id="12" name="Picture 12"/>
            <wp:cNvGraphicFramePr>
              <a:graphicFrameLocks noChangeAspect="1"/>
            </wp:cNvGraphicFramePr>
            <a:graphic>
              <a:graphicData uri="http://schemas.openxmlformats.org/drawingml/2006/picture">
                <pic:pic>
                  <pic:nvPicPr>
                    <pic:cNvPr id="0" name="03d_paiements_choisir_operateur.png"/>
                    <pic:cNvPicPr/>
                  </pic:nvPicPr>
                  <pic:blipFill>
                    <a:blip r:embed="rId2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Choisir un opérateur</w:t>
      </w:r>
    </w:p>
    <w:p>
      <w:pPr>
        <w:pStyle w:val="Heading3"/>
        <w:keepNext/>
      </w:pPr>
      <w:r>
        <w:t>Présentation de l'écran</w:t>
      </w:r>
    </w:p>
    <w:p>
      <w:r>
        <w:rPr>
          <w:rFonts w:ascii="Calibri" w:hAnsi="Calibri" w:eastAsia="Calibri"/>
        </w:rPr>
        <w:t xml:space="preserve">Cette fenêtre permet de choisir l'opérateur mobile money et le mode de paiement. Elle s'affiche après clic sur </w:t>
      </w:r>
      <w:r>
        <w:rPr>
          <w:rFonts w:ascii="Calibri" w:hAnsi="Calibri" w:eastAsia="Calibri"/>
          <w:b/>
        </w:rPr>
        <w:t>Payer</w:t>
      </w:r>
      <w:r>
        <w:rPr>
          <w:rFonts w:ascii="Calibri" w:hAnsi="Calibri" w:eastAsia="Calibri"/>
        </w:rPr>
        <w:t>.</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Opérateur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 réseau de paiement mobile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Choix parmi MVola, Orange Money, Airtel Money</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continuer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Mode de paiement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 canal d'exécution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Choix parmi Vanilla Pay ou FAI Direct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continuer</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Continuer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Passer à la confirmation du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uniquement après choix d'un opérateur et d'un mode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l'écran de confirmation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la fenêtre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Retour à la liste des paiements</w:t>
            </w:r>
          </w:p>
        </w:tc>
      </w:tr>
    </w:tbl>
    <w:p>
      <w:pPr>
        <w:spacing w:after="40"/>
      </w:pPr>
    </w:p>
    <w:p>
      <w:r>
        <w:rPr>
          <w:rFonts w:ascii="Calibri" w:hAnsi="Calibri" w:eastAsia="Calibri"/>
        </w:rPr>
        <w:t xml:space="preserve">Dans la maquette, le mode </w:t>
      </w:r>
      <w:r>
        <w:rPr>
          <w:rFonts w:ascii="Calibri" w:hAnsi="Calibri" w:eastAsia="Calibri"/>
          <w:b/>
        </w:rPr>
        <w:t>Vanilla Pay</w:t>
      </w:r>
      <w:r>
        <w:rPr>
          <w:rFonts w:ascii="Calibri" w:hAnsi="Calibri" w:eastAsia="Calibri"/>
        </w:rPr>
        <w:t xml:space="preserve"> est le canal opérationnel pour poursuivre jusqu'à la confirmation. </w:t>
      </w:r>
      <w:r>
        <w:rPr>
          <w:rFonts w:ascii="Calibri" w:hAnsi="Calibri" w:eastAsia="Calibri"/>
          <w:b/>
        </w:rPr>
        <w:t>FAI Direct</w:t>
      </w:r>
      <w:r>
        <w:rPr>
          <w:rFonts w:ascii="Calibri" w:hAnsi="Calibri" w:eastAsia="Calibri"/>
        </w:rPr>
        <w:t xml:space="preserve"> est présenté comme option de canal mais ne permet pas de finaliser l'initiation dans ce parcours de démonstration.</w:t>
      </w:r>
    </w:p>
    <w:p>
      <w:pPr>
        <w:pStyle w:val="Heading2"/>
        <w:keepNext/>
      </w:pPr>
      <w:r>
        <w:t>15. Confirmation du paiement</w:t>
      </w:r>
    </w:p>
    <w:p>
      <w:pPr>
        <w:keepNext/>
        <w:jc w:val="center"/>
      </w:pPr>
      <w:r>
        <w:drawing>
          <wp:inline xmlns:a="http://schemas.openxmlformats.org/drawingml/2006/main" xmlns:pic="http://schemas.openxmlformats.org/drawingml/2006/picture">
            <wp:extent cx="5715000" cy="3215473"/>
            <wp:docPr id="13" name="Picture 13"/>
            <wp:cNvGraphicFramePr>
              <a:graphicFrameLocks noChangeAspect="1"/>
            </wp:cNvGraphicFramePr>
            <a:graphic>
              <a:graphicData uri="http://schemas.openxmlformats.org/drawingml/2006/picture">
                <pic:pic>
                  <pic:nvPicPr>
                    <pic:cNvPr id="0" name="03e_paiements_confirmation.png"/>
                    <pic:cNvPicPr/>
                  </pic:nvPicPr>
                  <pic:blipFill>
                    <a:blip r:embed="rId2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Confirmation du paiement</w:t>
      </w:r>
    </w:p>
    <w:p>
      <w:pPr>
        <w:pStyle w:val="Heading3"/>
        <w:keepNext/>
      </w:pPr>
      <w:r>
        <w:t>Présentation de l'écran</w:t>
      </w:r>
    </w:p>
    <w:p>
      <w:r>
        <w:rPr>
          <w:rFonts w:ascii="Calibri" w:hAnsi="Calibri" w:eastAsia="Calibri"/>
        </w:rPr>
        <w:t>La confirmation permet de vérifier les informations avant de lancer le paiement. Elle est utilisée par le gestionnaire ou responsable habilité juste avant l'initiation.</w:t>
      </w:r>
    </w:p>
    <w:p>
      <w:pPr>
        <w:pStyle w:val="Heading3"/>
        <w:keepNext/>
      </w:pPr>
      <w:r>
        <w:t>Informations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Information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Opérateur et mode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Rappelle le choix effectué à l'étape précédente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Provient de la fenêtre de choix d'opérateur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Référence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Identifie la liquidation ou le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rattacher le paiement au dossier source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Bénéficiaire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Fournisseur ou bénéficiaire du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Provient de la liquidation ou du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Statut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Statut courant avant initiation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Badge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Doit permettre l'initiation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Téléphone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Numéro de paiement mobile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Numéro ou 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Utilisé pour le paiement mobile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Montant à payer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Montant en Ariary</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Provient de la ligne sélectionnée</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Confirmer le paiement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Lancer l'initiation du 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Les informations doivent être vérifiées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paiement passe au statut Paiement initie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Abandonner l'initiation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paiement reste dans son statut précédent</w:t>
            </w:r>
          </w:p>
        </w:tc>
      </w:tr>
    </w:tbl>
    <w:p>
      <w:pPr>
        <w:spacing w:after="40"/>
      </w:pPr>
    </w:p>
    <w:p>
      <w:r>
        <w:rPr>
          <w:rFonts w:ascii="Calibri" w:hAnsi="Calibri" w:eastAsia="Calibri"/>
        </w:rPr>
        <w:t>Après confirmation, la liste des paiements, le tableau de bord et l'état des paiements reflètent le paiement initié.</w:t>
      </w:r>
    </w:p>
    <w:p>
      <w:pPr>
        <w:pStyle w:val="Heading2"/>
        <w:keepNext/>
      </w:pPr>
      <w:r>
        <w:t>16. Génération fichier banque</w:t>
      </w:r>
    </w:p>
    <w:p>
      <w:pPr>
        <w:keepNext/>
        <w:jc w:val="center"/>
      </w:pPr>
      <w:r>
        <w:drawing>
          <wp:inline xmlns:a="http://schemas.openxmlformats.org/drawingml/2006/main" xmlns:pic="http://schemas.openxmlformats.org/drawingml/2006/picture">
            <wp:extent cx="5715000" cy="3215473"/>
            <wp:docPr id="14" name="Picture 14"/>
            <wp:cNvGraphicFramePr>
              <a:graphicFrameLocks noChangeAspect="1"/>
            </wp:cNvGraphicFramePr>
            <a:graphic>
              <a:graphicData uri="http://schemas.openxmlformats.org/drawingml/2006/picture">
                <pic:pic>
                  <pic:nvPicPr>
                    <pic:cNvPr id="0" name="04_generation_fichier_banque.png"/>
                    <pic:cNvPicPr/>
                  </pic:nvPicPr>
                  <pic:blipFill>
                    <a:blip r:embed="rId2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Génération fichier banque</w:t>
      </w:r>
    </w:p>
    <w:p>
      <w:pPr>
        <w:pStyle w:val="Heading3"/>
        <w:keepNext/>
      </w:pPr>
      <w:r>
        <w:t>Présentation de l'écran</w:t>
      </w:r>
    </w:p>
    <w:p>
      <w:r>
        <w:rPr>
          <w:rFonts w:ascii="Calibri" w:hAnsi="Calibri" w:eastAsia="Calibri"/>
        </w:rPr>
        <w:t xml:space="preserve">L'écran </w:t>
      </w:r>
      <w:r>
        <w:rPr>
          <w:rFonts w:ascii="Calibri" w:hAnsi="Calibri" w:eastAsia="Calibri"/>
          <w:b/>
        </w:rPr>
        <w:t>Paiements XML</w:t>
      </w:r>
      <w:r>
        <w:rPr>
          <w:rFonts w:ascii="Calibri" w:hAnsi="Calibri" w:eastAsia="Calibri"/>
        </w:rPr>
        <w:t xml:space="preserve"> sert à préparer un fichier bancaire à partir de documents bons à payer. Il est utilisé par les gestionnaires ou administrateurs autorisés à générer les fichiers à transmettre à la banque.</w:t>
      </w:r>
    </w:p>
    <w:p>
      <w:pPr>
        <w:pStyle w:val="Heading3"/>
        <w:keepNext/>
      </w:pPr>
      <w:r>
        <w:t>Champs et zones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ou zone</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Schéma</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 format bancaire à utiliser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schémas bancaires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générer un fichier cohérent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Informations du schéma</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banque, format, version et nature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Provient du paramétrage XML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Documents éligibles au paiement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Liste les documents bons à payer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Tableau de documents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remplit depuis SoftDocs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Case de sélection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les documents à inclure dans le fichier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 moins un document doit être sélectionné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 total sélectionné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Somme des documents choisis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Montant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calcule automatiquement selon la sélection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IBAN ou compte bénéficiaire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Coordonnées bancaires du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bancaire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Nécessaire pour un fichier exploitable</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Schéma</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Ouvrir la configuration du schéma utilisé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Un schéma est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d'ajuster banque, format, endpoint et nature de remise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Générer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Préparer le fichier bancaire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lorsqu'au moins un document est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une confirmation puis génère le fichier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Export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Exporter les données visibles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Produit un fichier de suivi</w:t>
            </w:r>
          </w:p>
        </w:tc>
      </w:tr>
    </w:tbl>
    <w:p>
      <w:pPr>
        <w:spacing w:after="40"/>
      </w:pPr>
    </w:p>
    <w:p>
      <w:pPr>
        <w:pStyle w:val="Heading3"/>
        <w:keepNext/>
      </w:pPr>
      <w:r>
        <w:t>Relations avec le paramétrage</w:t>
      </w:r>
    </w:p>
    <w:p>
      <w:r>
        <w:rPr>
          <w:rFonts w:ascii="Calibri" w:hAnsi="Calibri" w:eastAsia="Calibri"/>
        </w:rPr>
        <w:t>La génération XML dépend directement de trois écrans de paramétrage :</w:t>
      </w:r>
    </w:p>
    <w:p>
      <w:pPr>
        <w:pStyle w:val="ListBullet"/>
      </w:pPr>
      <w:r>
        <w:rPr>
          <w:rFonts w:ascii="Calibri" w:hAnsi="Calibri" w:eastAsia="Calibri"/>
          <w:b/>
        </w:rPr>
        <w:t>Nature de remise</w:t>
      </w:r>
      <w:r>
        <w:rPr>
          <w:rFonts w:ascii="Calibri" w:hAnsi="Calibri" w:eastAsia="Calibri"/>
        </w:rPr>
        <w:t xml:space="preserve"> : définit les natures autorisées par projet.</w:t>
      </w:r>
    </w:p>
    <w:p>
      <w:pPr>
        <w:pStyle w:val="ListBullet"/>
      </w:pPr>
      <w:r>
        <w:rPr>
          <w:rFonts w:ascii="Calibri" w:hAnsi="Calibri" w:eastAsia="Calibri"/>
          <w:b/>
        </w:rPr>
        <w:t>Balise XML</w:t>
      </w:r>
      <w:r>
        <w:rPr>
          <w:rFonts w:ascii="Calibri" w:hAnsi="Calibri" w:eastAsia="Calibri"/>
        </w:rPr>
        <w:t xml:space="preserve"> : définit la structure et les valeurs attendues dans le fichier.</w:t>
      </w:r>
    </w:p>
    <w:p>
      <w:pPr>
        <w:pStyle w:val="ListBullet"/>
      </w:pPr>
      <w:r>
        <w:rPr>
          <w:rFonts w:ascii="Calibri" w:hAnsi="Calibri" w:eastAsia="Calibri"/>
          <w:b/>
        </w:rPr>
        <w:t>Mappage XML - Banques</w:t>
      </w:r>
      <w:r>
        <w:rPr>
          <w:rFonts w:ascii="Calibri" w:hAnsi="Calibri" w:eastAsia="Calibri"/>
        </w:rPr>
        <w:t xml:space="preserve"> : associe chaque banque à un schéma et à un compte débiteur.</w:t>
      </w:r>
    </w:p>
    <w:p>
      <w:r>
        <w:rPr>
          <w:rFonts w:ascii="Calibri" w:hAnsi="Calibri" w:eastAsia="Calibri"/>
        </w:rPr>
        <w:t>Si un schéma, une nature ou un mappage est mal défini, le fichier généré peut être incomplet ou ne pas correspondre aux attentes de la banque.</w:t>
      </w:r>
    </w:p>
    <w:p>
      <w:pPr>
        <w:pStyle w:val="Heading2"/>
        <w:keepNext/>
      </w:pPr>
      <w:r>
        <w:t>17. Paramétrage - Nature de remise</w:t>
      </w:r>
    </w:p>
    <w:p>
      <w:pPr>
        <w:keepNext/>
        <w:jc w:val="center"/>
      </w:pPr>
      <w:r>
        <w:drawing>
          <wp:inline xmlns:a="http://schemas.openxmlformats.org/drawingml/2006/main" xmlns:pic="http://schemas.openxmlformats.org/drawingml/2006/picture">
            <wp:extent cx="5715000" cy="3215473"/>
            <wp:docPr id="15" name="Picture 15"/>
            <wp:cNvGraphicFramePr>
              <a:graphicFrameLocks noChangeAspect="1"/>
            </wp:cNvGraphicFramePr>
            <a:graphic>
              <a:graphicData uri="http://schemas.openxmlformats.org/drawingml/2006/picture">
                <pic:pic>
                  <pic:nvPicPr>
                    <pic:cNvPr id="0" name="05_nature_remise.png"/>
                    <pic:cNvPicPr/>
                  </pic:nvPicPr>
                  <pic:blipFill>
                    <a:blip r:embed="rId2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Nature de remise</w:t>
      </w:r>
    </w:p>
    <w:p>
      <w:pPr>
        <w:pStyle w:val="Heading3"/>
        <w:keepNext/>
      </w:pPr>
      <w:r>
        <w:t>Présentation de l'écran</w:t>
      </w:r>
    </w:p>
    <w:p>
      <w:r>
        <w:rPr>
          <w:rFonts w:ascii="Calibri" w:hAnsi="Calibri" w:eastAsia="Calibri"/>
        </w:rPr>
        <w:t xml:space="preserve">L'écran </w:t>
      </w:r>
      <w:r>
        <w:rPr>
          <w:rFonts w:ascii="Calibri" w:hAnsi="Calibri" w:eastAsia="Calibri"/>
          <w:b/>
        </w:rPr>
        <w:t>Configuration des natures de remise</w:t>
      </w:r>
      <w:r>
        <w:rPr>
          <w:rFonts w:ascii="Calibri" w:hAnsi="Calibri" w:eastAsia="Calibri"/>
        </w:rPr>
        <w:t xml:space="preserve"> définit les types de remise autorisés par projet. Il est utilisé par les administrateurs fonctionnels ou responsables du paramétrage bancaire.</w:t>
      </w:r>
    </w:p>
    <w:p>
      <w:pPr>
        <w:pStyle w:val="Heading3"/>
        <w:keepNext/>
      </w:pPr>
      <w:r>
        <w:t>Champs et affichages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 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les projets affichés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Carte 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un projet et ses natures de remise autorisées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Carte avec badges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Chaque projet peut avoir ses propres natures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Badges de nature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Codes de remise disponibles pour le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Codes tels que RLI, TRF, VRT, CHQ</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Utilisés lors de la génération bancaire</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Modifier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Ouvrir la sélection des natures pour un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Carte projet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Affiche la fenêtre de choix</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un 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Ajouter une configuration pour un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Projet non encore configuré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définir les natures du nouveau projet</w:t>
            </w:r>
          </w:p>
        </w:tc>
      </w:tr>
    </w:tbl>
    <w:p>
      <w:pPr>
        <w:spacing w:after="40"/>
      </w:pPr>
    </w:p>
    <w:p>
      <w:pPr>
        <w:pStyle w:val="Heading2"/>
        <w:keepNext/>
      </w:pPr>
      <w:r>
        <w:t>18. Fenêtre de sélection des natures de remise</w:t>
      </w:r>
    </w:p>
    <w:p>
      <w:pPr>
        <w:keepNext/>
        <w:jc w:val="center"/>
      </w:pPr>
      <w:r>
        <w:drawing>
          <wp:inline xmlns:a="http://schemas.openxmlformats.org/drawingml/2006/main" xmlns:pic="http://schemas.openxmlformats.org/drawingml/2006/picture">
            <wp:extent cx="5715000" cy="3215473"/>
            <wp:docPr id="16" name="Picture 16"/>
            <wp:cNvGraphicFramePr>
              <a:graphicFrameLocks noChangeAspect="1"/>
            </wp:cNvGraphicFramePr>
            <a:graphic>
              <a:graphicData uri="http://schemas.openxmlformats.org/drawingml/2006/picture">
                <pic:pic>
                  <pic:nvPicPr>
                    <pic:cNvPr id="0" name="05b_nature_remise_modal.png"/>
                    <pic:cNvPicPr/>
                  </pic:nvPicPr>
                  <pic:blipFill>
                    <a:blip r:embed="rId2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Sélection des natures de remise</w:t>
      </w:r>
    </w:p>
    <w:p>
      <w:pPr>
        <w:pStyle w:val="Heading3"/>
        <w:keepNext/>
      </w:pPr>
      <w:r>
        <w:t>Présentation de l'écran</w:t>
      </w:r>
    </w:p>
    <w:p>
      <w:r>
        <w:rPr>
          <w:rFonts w:ascii="Calibri" w:hAnsi="Calibri" w:eastAsia="Calibri"/>
        </w:rPr>
        <w:t>La fenêtre permet de cocher les natures de remise autorisées pour un projet précis.</w:t>
      </w:r>
    </w:p>
    <w:p>
      <w:pPr>
        <w:pStyle w:val="Heading3"/>
        <w:keepNext/>
      </w:pPr>
      <w:r>
        <w:t>Champs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Liste des natures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les codes disponibles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Cases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 moins une nature est recommandée pour générer des fichiers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Tout cocher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Sélectionner toutes les natures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Action globale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Accélère le paramétrage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Tout décocher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Retirer toutes les natures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Action globale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À utiliser avec prudence, car le projet peut ne plus être utilisable pour certaines générations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Valider les choix</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Bouton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Met à jour les natures disponibles pour le projet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sans enregistrer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Bouton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Conserve l'ancien paramétrage</w:t>
            </w:r>
          </w:p>
        </w:tc>
      </w:tr>
    </w:tbl>
    <w:p>
      <w:pPr>
        <w:spacing w:after="40"/>
      </w:pPr>
    </w:p>
    <w:p>
      <w:r>
        <w:rPr>
          <w:rFonts w:ascii="Calibri" w:hAnsi="Calibri" w:eastAsia="Calibri"/>
        </w:rPr>
        <w:t>Une nature non cochée pour un projet ne doit pas être utilisée dans les fichiers bancaires liés à ce projet.</w:t>
      </w:r>
    </w:p>
    <w:p>
      <w:pPr>
        <w:pStyle w:val="Heading2"/>
        <w:keepNext/>
      </w:pPr>
      <w:r>
        <w:t>19. Paramétrage - Balises XML</w:t>
      </w:r>
    </w:p>
    <w:p>
      <w:pPr>
        <w:keepNext/>
        <w:jc w:val="center"/>
      </w:pPr>
      <w:r>
        <w:drawing>
          <wp:inline xmlns:a="http://schemas.openxmlformats.org/drawingml/2006/main" xmlns:pic="http://schemas.openxmlformats.org/drawingml/2006/picture">
            <wp:extent cx="5715000" cy="3215473"/>
            <wp:docPr id="17" name="Picture 17"/>
            <wp:cNvGraphicFramePr>
              <a:graphicFrameLocks noChangeAspect="1"/>
            </wp:cNvGraphicFramePr>
            <a:graphic>
              <a:graphicData uri="http://schemas.openxmlformats.org/drawingml/2006/picture">
                <pic:pic>
                  <pic:nvPicPr>
                    <pic:cNvPr id="0" name="06_balise_xml.png"/>
                    <pic:cNvPicPr/>
                  </pic:nvPicPr>
                  <pic:blipFill>
                    <a:blip r:embed="rId2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Balises XML</w:t>
      </w:r>
    </w:p>
    <w:p>
      <w:pPr>
        <w:pStyle w:val="Heading3"/>
        <w:keepNext/>
      </w:pPr>
      <w:r>
        <w:t>Présentation de l'écran</w:t>
      </w:r>
    </w:p>
    <w:p>
      <w:r>
        <w:rPr>
          <w:rFonts w:ascii="Calibri" w:hAnsi="Calibri" w:eastAsia="Calibri"/>
        </w:rPr>
        <w:t xml:space="preserve">L'écran </w:t>
      </w:r>
      <w:r>
        <w:rPr>
          <w:rFonts w:ascii="Calibri" w:hAnsi="Calibri" w:eastAsia="Calibri"/>
          <w:b/>
        </w:rPr>
        <w:t>Configuration Balises XML</w:t>
      </w:r>
      <w:r>
        <w:rPr>
          <w:rFonts w:ascii="Calibri" w:hAnsi="Calibri" w:eastAsia="Calibri"/>
        </w:rPr>
        <w:t xml:space="preserve"> permet de définir la structure du fichier bancaire attendu par chaque banque. Il est utilisé par les administrateurs ou responsables du paramétrage bancaire.</w:t>
      </w:r>
    </w:p>
    <w:p>
      <w:pPr>
        <w:pStyle w:val="Heading3"/>
        <w:keepNext/>
      </w:pPr>
      <w:r>
        <w:t>Zones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Sélecteur de schéma</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la banque ou le format XML à paramétrer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Boutons de schéma</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schéma choisi influence la génération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Tableau des balises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Liste les balises attendues dans le fichier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Tableau</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Chaque ligne correspond à une information du fichier bancaire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Balise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 de la balise dans le fichier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court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construire le fichier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Libellé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Description lisible de la balise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Aide l'utilisateur à comprendre la balise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Exemple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Exemple de valeur attendue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de guide de saisie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Valeur ou variable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Valeur fixe ou variable calculée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utiliser des variables comme date, total ou nombre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Aperçu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Visualise le résultat attendu</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Bloc de prévisualisation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contrôler la structure avant génération</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balise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Créer une nouvelle balise dans le schéma</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Schéma ouvert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la fenêtre de création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un schéma</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Créer un nouveau schéma bancaire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Utilisateur autorisé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Ajoute une configuration de banque ou format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Exporter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Exporter l'aperçu ou la configuration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Schéma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Produit un fichier de référence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Modifier une valeur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Changer la valeur d'une balise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Ligne existante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Influence les fichiers générés ensuite</w:t>
            </w:r>
          </w:p>
        </w:tc>
      </w:tr>
    </w:tbl>
    <w:p>
      <w:pPr>
        <w:spacing w:after="40"/>
      </w:pPr>
    </w:p>
    <w:p>
      <w:pPr>
        <w:pStyle w:val="Heading2"/>
        <w:keepNext/>
      </w:pPr>
      <w:r>
        <w:t>20. Ajout d'une balise XML</w:t>
      </w:r>
    </w:p>
    <w:p>
      <w:pPr>
        <w:keepNext/>
        <w:jc w:val="center"/>
      </w:pPr>
      <w:r>
        <w:drawing>
          <wp:inline xmlns:a="http://schemas.openxmlformats.org/drawingml/2006/main" xmlns:pic="http://schemas.openxmlformats.org/drawingml/2006/picture">
            <wp:extent cx="5715000" cy="3215473"/>
            <wp:docPr id="18" name="Picture 18"/>
            <wp:cNvGraphicFramePr>
              <a:graphicFrameLocks noChangeAspect="1"/>
            </wp:cNvGraphicFramePr>
            <a:graphic>
              <a:graphicData uri="http://schemas.openxmlformats.org/drawingml/2006/picture">
                <pic:pic>
                  <pic:nvPicPr>
                    <pic:cNvPr id="0" name="06b_balise_xml_ajouter.png"/>
                    <pic:cNvPicPr/>
                  </pic:nvPicPr>
                  <pic:blipFill>
                    <a:blip r:embed="rId2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Ajout d'une balise XML</w:t>
      </w:r>
    </w:p>
    <w:p>
      <w:pPr>
        <w:pStyle w:val="Heading3"/>
        <w:keepNext/>
      </w:pPr>
      <w:r>
        <w:t>Présentation de l'écran</w:t>
      </w:r>
    </w:p>
    <w:p>
      <w:r>
        <w:rPr>
          <w:rFonts w:ascii="Calibri" w:hAnsi="Calibri" w:eastAsia="Calibri"/>
        </w:rPr>
        <w:t>Cette fenêtre ajoute une balise au schéma XML sélectionné. Elle est utilisée lorsqu'une banque demande une information supplémentaire ou lorsque le format doit être ajusté.</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Balise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 technique attendu par la banque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court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Libellé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Description de la balise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faciliter la lecture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Exemple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Valeur d'exemple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mais recommandé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Valeur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Valeur fixe ou variable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alimenter la balise</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Valider la nouvelle balise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Champs principaux renseignés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balise est ajoutée au tableau</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sans créer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schéma reste inchangé</w:t>
            </w:r>
          </w:p>
        </w:tc>
      </w:tr>
    </w:tbl>
    <w:p>
      <w:pPr>
        <w:spacing w:after="40"/>
      </w:pPr>
    </w:p>
    <w:p>
      <w:pPr>
        <w:pStyle w:val="Heading2"/>
        <w:keepNext/>
      </w:pPr>
      <w:r>
        <w:t>21. Paramétrage - Mappage XML Banques</w:t>
      </w:r>
    </w:p>
    <w:p>
      <w:pPr>
        <w:keepNext/>
        <w:jc w:val="center"/>
      </w:pPr>
      <w:r>
        <w:drawing>
          <wp:inline xmlns:a="http://schemas.openxmlformats.org/drawingml/2006/main" xmlns:pic="http://schemas.openxmlformats.org/drawingml/2006/picture">
            <wp:extent cx="5715000" cy="3215473"/>
            <wp:docPr id="19" name="Picture 19"/>
            <wp:cNvGraphicFramePr>
              <a:graphicFrameLocks noChangeAspect="1"/>
            </wp:cNvGraphicFramePr>
            <a:graphic>
              <a:graphicData uri="http://schemas.openxmlformats.org/drawingml/2006/picture">
                <pic:pic>
                  <pic:nvPicPr>
                    <pic:cNvPr id="0" name="07_mappage_xml_banques.png"/>
                    <pic:cNvPicPr/>
                  </pic:nvPicPr>
                  <pic:blipFill>
                    <a:blip r:embed="rId2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Mappage XML Banques</w:t>
      </w:r>
    </w:p>
    <w:p>
      <w:pPr>
        <w:pStyle w:val="Heading3"/>
        <w:keepNext/>
      </w:pPr>
      <w:r>
        <w:t>Présentation de l'écran</w:t>
      </w:r>
    </w:p>
    <w:p>
      <w:r>
        <w:rPr>
          <w:rFonts w:ascii="Calibri" w:hAnsi="Calibri" w:eastAsia="Calibri"/>
        </w:rPr>
        <w:t xml:space="preserve">L'écran </w:t>
      </w:r>
      <w:r>
        <w:rPr>
          <w:rFonts w:ascii="Calibri" w:hAnsi="Calibri" w:eastAsia="Calibri"/>
          <w:b/>
        </w:rPr>
        <w:t>Mappage Fichier XML - Banques</w:t>
      </w:r>
      <w:r>
        <w:rPr>
          <w:rFonts w:ascii="Calibri" w:hAnsi="Calibri" w:eastAsia="Calibri"/>
        </w:rPr>
        <w:t xml:space="preserve"> associe chaque banque à un schéma XML, une devise et un compte débiteur. Il est essentiel pour produire un fichier bancaire exploitable.</w:t>
      </w:r>
    </w:p>
    <w:p>
      <w:pPr>
        <w:pStyle w:val="Heading3"/>
        <w:keepNext/>
      </w:pPr>
      <w:r>
        <w:t>Indicateurs et zones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Banques configurées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 banques disposant d'un mappage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Plus ce nombre est élevé, plus le paramétrage est complet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Sert à la génération bancaire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Actifs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Mappages utilisables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Seuls les mappages actifs doivent être utilisés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Conditionne les choix disponibles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Inactifs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Mappages suspendus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À contrôler avant génération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Ne doivent pas être utilisés pour un paiement courant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Non configurés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Banques sans mappage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Signal d'alerte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Une banque non configurée peut bloquer la génération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Carte banque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Détail d'une banque configurée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Banque, schéma, devise, compte débiteur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Source du fichier XML</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Ajouter un mappage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Créer une association banque-schématique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Utilisateur autorisé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la fenêtre de saisie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Modifier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Mettre à jour un mappage existant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Mappage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Modifie la banque, le schéma, le compte ou la devise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Supprimer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Retirer un mappage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Mappage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banque n'est plus configurée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Actif/Inactif</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Activer ou suspendre un mappage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Mappage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Influence son utilisation dans les fichiers</w:t>
            </w:r>
          </w:p>
        </w:tc>
      </w:tr>
    </w:tbl>
    <w:p>
      <w:pPr>
        <w:spacing w:after="40"/>
      </w:pPr>
    </w:p>
    <w:p>
      <w:pPr>
        <w:pStyle w:val="Heading2"/>
        <w:keepNext/>
      </w:pPr>
      <w:r>
        <w:t>22. Ajout ou modification d'un mappage</w:t>
      </w:r>
    </w:p>
    <w:p>
      <w:pPr>
        <w:keepNext/>
        <w:jc w:val="center"/>
      </w:pPr>
      <w:r>
        <w:drawing>
          <wp:inline xmlns:a="http://schemas.openxmlformats.org/drawingml/2006/main" xmlns:pic="http://schemas.openxmlformats.org/drawingml/2006/picture">
            <wp:extent cx="5715000" cy="3215473"/>
            <wp:docPr id="20" name="Picture 20"/>
            <wp:cNvGraphicFramePr>
              <a:graphicFrameLocks noChangeAspect="1"/>
            </wp:cNvGraphicFramePr>
            <a:graphic>
              <a:graphicData uri="http://schemas.openxmlformats.org/drawingml/2006/picture">
                <pic:pic>
                  <pic:nvPicPr>
                    <pic:cNvPr id="0" name="07b_mappage_xml_modal.png"/>
                    <pic:cNvPicPr/>
                  </pic:nvPicPr>
                  <pic:blipFill>
                    <a:blip r:embed="rId2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Formulaire de mappage XML</w:t>
      </w:r>
    </w:p>
    <w:p>
      <w:pPr>
        <w:pStyle w:val="Heading3"/>
        <w:keepNext/>
      </w:pPr>
      <w:r>
        <w:t>Présentation de l'écran</w:t>
      </w:r>
    </w:p>
    <w:p>
      <w:r>
        <w:rPr>
          <w:rFonts w:ascii="Calibri" w:hAnsi="Calibri" w:eastAsia="Calibri"/>
        </w:rPr>
        <w:t>La fenêtre de mappage permet d'associer une banque à son format XML et au compte débiteur utilisé dans les fichiers de paiement.</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Banque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Banque concernée par le mappage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banques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Schéma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Format bancaire à utiliser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schémas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Doit correspondre à la banque ou au contrat bancaire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Compte débiteur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Compte de l'organisation utilisé pour payer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IBAN ou RIB</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une génération fiable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Devise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Devise du compte ou du fichier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devises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Actif</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si le mappage peut être utilisé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Si décoché, le mappage est conservé mais suspendu</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Créer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Enregistrer un nouveau mappage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Banque et schéma renseignés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La banque devient configurée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Sauvegarder une modification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Mappage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futures générations utilisent les nouvelles valeurs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sans enregistrer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 changement n'est appliqué</w:t>
            </w:r>
          </w:p>
        </w:tc>
      </w:tr>
    </w:tbl>
    <w:p>
      <w:pPr>
        <w:spacing w:after="40"/>
      </w:pPr>
    </w:p>
    <w:p>
      <w:pPr>
        <w:pStyle w:val="Heading2"/>
        <w:keepNext/>
      </w:pPr>
      <w:r>
        <w:t>23. États &amp; Rapports - Tableau de bord KPI</w:t>
      </w:r>
    </w:p>
    <w:p>
      <w:pPr>
        <w:keepNext/>
        <w:jc w:val="center"/>
      </w:pPr>
      <w:r>
        <w:drawing>
          <wp:inline xmlns:a="http://schemas.openxmlformats.org/drawingml/2006/main" xmlns:pic="http://schemas.openxmlformats.org/drawingml/2006/picture">
            <wp:extent cx="5715000" cy="3215473"/>
            <wp:docPr id="21" name="Picture 21"/>
            <wp:cNvGraphicFramePr>
              <a:graphicFrameLocks noChangeAspect="1"/>
            </wp:cNvGraphicFramePr>
            <a:graphic>
              <a:graphicData uri="http://schemas.openxmlformats.org/drawingml/2006/picture">
                <pic:pic>
                  <pic:nvPicPr>
                    <pic:cNvPr id="0" name="08_etat_kpi.png"/>
                    <pic:cNvPicPr/>
                  </pic:nvPicPr>
                  <pic:blipFill>
                    <a:blip r:embed="rId2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État KPI</w:t>
      </w:r>
    </w:p>
    <w:p>
      <w:pPr>
        <w:pStyle w:val="Heading3"/>
        <w:keepNext/>
      </w:pPr>
      <w:r>
        <w:t>Présentation de l'écran</w:t>
      </w:r>
    </w:p>
    <w:p>
      <w:r>
        <w:rPr>
          <w:rFonts w:ascii="Calibri" w:hAnsi="Calibri" w:eastAsia="Calibri"/>
        </w:rPr>
        <w:t>Le tableau de bord KPI donne une vue consolidée de l'activité : montants, paiements, synchronisations, liquidations en cours et répartition par statut. Il est destiné aux responsables financiers et au pilotage.</w:t>
      </w:r>
    </w:p>
    <w:p>
      <w:pPr>
        <w:pStyle w:val="Heading3"/>
        <w:keepNext/>
      </w:pPr>
      <w:r>
        <w:t>Indicateurs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Indicateur</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Total liquidations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liquidations suivies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Mesure le volume d'activité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Montant total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Somme globale des liquidations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 suivi financier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 cours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Liquidations non finalisées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surveiller pour éviter les retards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Sync TOMPRO</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Part des liquidations synchronisées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Mesure l'avancement comptable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Montant payé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Somme des liquidations payées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Indique la dépense déjà exécutée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Taux de paiement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Pourcentage des liquidations payées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Aide au suivi de performance</w:t>
            </w:r>
          </w:p>
        </w:tc>
      </w:tr>
    </w:tbl>
    <w:p>
      <w:pPr>
        <w:spacing w:after="40"/>
      </w:pPr>
    </w:p>
    <w:p>
      <w:pPr>
        <w:pStyle w:val="Heading3"/>
        <w:keepNext/>
      </w:pPr>
      <w:r>
        <w:t>Graphiques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Graphique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Évolution mensuelle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Montre le nombre de liquidations et les montants par mois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Lecture comparative par période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Répartition par 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la distribution des statuts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d'identifier les blocages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Répartition par devise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Montre les volumes par devise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Utile pour contrôler les paiements en devise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Top fournisseurs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les fournisseurs les plus représentés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Aide à analyser les concentrations de paiement</w:t>
            </w:r>
          </w:p>
        </w:tc>
      </w:tr>
    </w:tbl>
    <w:p>
      <w:pPr>
        <w:spacing w:after="40"/>
      </w:pPr>
    </w:p>
    <w:p>
      <w:pPr>
        <w:pStyle w:val="Heading2"/>
        <w:keepNext/>
      </w:pPr>
      <w:r>
        <w:t>24. États &amp; Rapports - État des liquidations</w:t>
      </w:r>
    </w:p>
    <w:p>
      <w:pPr>
        <w:keepNext/>
        <w:jc w:val="center"/>
      </w:pPr>
      <w:r>
        <w:drawing>
          <wp:inline xmlns:a="http://schemas.openxmlformats.org/drawingml/2006/main" xmlns:pic="http://schemas.openxmlformats.org/drawingml/2006/picture">
            <wp:extent cx="5715000" cy="3215473"/>
            <wp:docPr id="22" name="Picture 22"/>
            <wp:cNvGraphicFramePr>
              <a:graphicFrameLocks noChangeAspect="1"/>
            </wp:cNvGraphicFramePr>
            <a:graphic>
              <a:graphicData uri="http://schemas.openxmlformats.org/drawingml/2006/picture">
                <pic:pic>
                  <pic:nvPicPr>
                    <pic:cNvPr id="0" name="09_etat_liquidations.png"/>
                    <pic:cNvPicPr/>
                  </pic:nvPicPr>
                  <pic:blipFill>
                    <a:blip r:embed="rId3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État liquidations</w:t>
      </w:r>
    </w:p>
    <w:p>
      <w:pPr>
        <w:pStyle w:val="Heading3"/>
        <w:keepNext/>
      </w:pPr>
      <w:r>
        <w:t>Présentation de l'écran</w:t>
      </w:r>
    </w:p>
    <w:p>
      <w:r>
        <w:rPr>
          <w:rFonts w:ascii="Calibri" w:hAnsi="Calibri" w:eastAsia="Calibri"/>
        </w:rPr>
        <w:t>L'état des liquidations détaille les liquidations selon les critères de recherche et de statut. Il est utilisé pour contrôler les dossiers, préparer les suivis et exporter les informations.</w:t>
      </w:r>
    </w:p>
    <w:p>
      <w:pPr>
        <w:pStyle w:val="Heading3"/>
        <w:keepNext/>
      </w:pPr>
      <w:r>
        <w:t>Champs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par numéro ou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Tous les statuts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les liquidations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Export Excel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Exporter l'état filtré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Bouton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Produit un fichier de suivi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Tableau détaillé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Affiche numéro, site, date, fournisseur, devise, montant, statut et TOMPRO</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Tableau</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Reprend les données de l'écran Liquidations</w:t>
            </w:r>
          </w:p>
        </w:tc>
      </w:tr>
    </w:tbl>
    <w:p>
      <w:pPr>
        <w:spacing w:after="40"/>
      </w:pPr>
    </w:p>
    <w:p>
      <w:r>
        <w:rPr>
          <w:rFonts w:ascii="Calibri" w:hAnsi="Calibri" w:eastAsia="Calibri"/>
        </w:rPr>
        <w:t>Le total en bas de tableau se recalcule selon les filtres appliqués.</w:t>
      </w:r>
    </w:p>
    <w:p>
      <w:pPr>
        <w:pStyle w:val="Heading2"/>
        <w:keepNext/>
      </w:pPr>
      <w:r>
        <w:t>25. États &amp; Rapports - État des générations</w:t>
      </w:r>
    </w:p>
    <w:p>
      <w:pPr>
        <w:keepNext/>
        <w:jc w:val="center"/>
      </w:pPr>
      <w:r>
        <w:drawing>
          <wp:inline xmlns:a="http://schemas.openxmlformats.org/drawingml/2006/main" xmlns:pic="http://schemas.openxmlformats.org/drawingml/2006/picture">
            <wp:extent cx="5715000" cy="3215473"/>
            <wp:docPr id="23" name="Picture 23"/>
            <wp:cNvGraphicFramePr>
              <a:graphicFrameLocks noChangeAspect="1"/>
            </wp:cNvGraphicFramePr>
            <a:graphic>
              <a:graphicData uri="http://schemas.openxmlformats.org/drawingml/2006/picture">
                <pic:pic>
                  <pic:nvPicPr>
                    <pic:cNvPr id="0" name="10_etat_generations.png"/>
                    <pic:cNvPicPr/>
                  </pic:nvPicPr>
                  <pic:blipFill>
                    <a:blip r:embed="rId3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État générations</w:t>
      </w:r>
    </w:p>
    <w:p>
      <w:pPr>
        <w:pStyle w:val="Heading3"/>
        <w:keepNext/>
      </w:pPr>
      <w:r>
        <w:t>Présentation de l'écran</w:t>
      </w:r>
    </w:p>
    <w:p>
      <w:r>
        <w:rPr>
          <w:rFonts w:ascii="Calibri" w:hAnsi="Calibri" w:eastAsia="Calibri"/>
        </w:rPr>
        <w:t>L'état des générations suit les transmissions ou synchronisations réalisées et les éléments en attente. Il est utilisé pour savoir quelles liquidations ont été préparées ou transmises.</w:t>
      </w:r>
    </w:p>
    <w:p>
      <w:pPr>
        <w:pStyle w:val="Heading3"/>
        <w:keepNext/>
      </w:pPr>
      <w:r>
        <w:t>Indicateurs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Indicateur</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Fichiers générés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liquidations synchronisées ou transmises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des actions de génération ou synchronisation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Montant transmis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Montant total concerné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Reprend les montants liquidés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 attente génération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Liquidations non encore générées ou synchronisées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traiter dans Liquidations ou Paiements XML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Taux de génération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Pourcentage d'avancement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 pilotage</w:t>
            </w:r>
          </w:p>
        </w:tc>
      </w:tr>
    </w:tbl>
    <w:p>
      <w:pPr>
        <w:spacing w:after="40"/>
      </w:pPr>
    </w:p>
    <w:p>
      <w:r>
        <w:rPr>
          <w:rFonts w:ascii="Calibri" w:hAnsi="Calibri" w:eastAsia="Calibri"/>
        </w:rPr>
        <w:t>Le tableau des liquidations en attente aide à prioriser les dossiers qui doivent encore être préparés.</w:t>
      </w:r>
    </w:p>
    <w:p>
      <w:pPr>
        <w:pStyle w:val="Heading2"/>
        <w:keepNext/>
      </w:pPr>
      <w:r>
        <w:t>26. États &amp; Rapports - État des paiements</w:t>
      </w:r>
    </w:p>
    <w:p>
      <w:pPr>
        <w:keepNext/>
        <w:jc w:val="center"/>
      </w:pPr>
      <w:r>
        <w:drawing>
          <wp:inline xmlns:a="http://schemas.openxmlformats.org/drawingml/2006/main" xmlns:pic="http://schemas.openxmlformats.org/drawingml/2006/picture">
            <wp:extent cx="5715000" cy="3215473"/>
            <wp:docPr id="24" name="Picture 24"/>
            <wp:cNvGraphicFramePr>
              <a:graphicFrameLocks noChangeAspect="1"/>
            </wp:cNvGraphicFramePr>
            <a:graphic>
              <a:graphicData uri="http://schemas.openxmlformats.org/drawingml/2006/picture">
                <pic:pic>
                  <pic:nvPicPr>
                    <pic:cNvPr id="0" name="11_etat_paiements.png"/>
                    <pic:cNvPicPr/>
                  </pic:nvPicPr>
                  <pic:blipFill>
                    <a:blip r:embed="rId3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État paiements</w:t>
      </w:r>
    </w:p>
    <w:p>
      <w:pPr>
        <w:pStyle w:val="Heading3"/>
        <w:keepNext/>
      </w:pPr>
      <w:r>
        <w:t>Présentation de l'écran</w:t>
      </w:r>
    </w:p>
    <w:p>
      <w:r>
        <w:rPr>
          <w:rFonts w:ascii="Calibri" w:hAnsi="Calibri" w:eastAsia="Calibri"/>
        </w:rPr>
        <w:t>L'état des paiements suit les paiements initiés, payés ou en attente. Il est utilisé par les responsables financiers pour contrôler l'avancement des règlements.</w:t>
      </w:r>
    </w:p>
    <w:p>
      <w:pPr>
        <w:pStyle w:val="Heading3"/>
        <w:keepNext/>
      </w:pPr>
      <w:r>
        <w:t>Indicateurs et tableaux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Paiements initiés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paiements lancés depuis la liste des paiements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Alimenté par la confirmation de paiement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Montant payé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Montant des liquidations payées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des statuts de liquidation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Montant en attente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Montant restant à payer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Aide à planifier les décaissements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Ordres de paiement initiés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Tableau des paiements lancés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Reprend opérateur, montant, statut et date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Répartition par devise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Montants par devise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Reprend les devises des liquidations</w:t>
            </w:r>
          </w:p>
        </w:tc>
      </w:tr>
    </w:tbl>
    <w:p>
      <w:pPr>
        <w:spacing w:after="40"/>
      </w:pPr>
    </w:p>
    <w:p>
      <w:r>
        <w:rPr>
          <w:rFonts w:ascii="Calibri" w:hAnsi="Calibri" w:eastAsia="Calibri"/>
        </w:rPr>
        <w:t>Un paiement confirmé dans la fenêtre de confirmation apparaît dans cet état avec son opérateur et son statut.</w:t>
      </w:r>
    </w:p>
    <w:p>
      <w:pPr>
        <w:pStyle w:val="Heading2"/>
        <w:keepNext/>
      </w:pPr>
      <w:r>
        <w:t>27. États &amp; Rapports - État par fournisseur</w:t>
      </w:r>
    </w:p>
    <w:p>
      <w:pPr>
        <w:keepNext/>
        <w:jc w:val="center"/>
      </w:pPr>
      <w:r>
        <w:drawing>
          <wp:inline xmlns:a="http://schemas.openxmlformats.org/drawingml/2006/main" xmlns:pic="http://schemas.openxmlformats.org/drawingml/2006/picture">
            <wp:extent cx="5715000" cy="3215473"/>
            <wp:docPr id="25" name="Picture 25"/>
            <wp:cNvGraphicFramePr>
              <a:graphicFrameLocks noChangeAspect="1"/>
            </wp:cNvGraphicFramePr>
            <a:graphic>
              <a:graphicData uri="http://schemas.openxmlformats.org/drawingml/2006/picture">
                <pic:pic>
                  <pic:nvPicPr>
                    <pic:cNvPr id="0" name="12_etat_fournisseurs.png"/>
                    <pic:cNvPicPr/>
                  </pic:nvPicPr>
                  <pic:blipFill>
                    <a:blip r:embed="rId3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État fournisseurs</w:t>
      </w:r>
    </w:p>
    <w:p>
      <w:pPr>
        <w:pStyle w:val="Heading3"/>
        <w:keepNext/>
      </w:pPr>
      <w:r>
        <w:t>Présentation de l'écran</w:t>
      </w:r>
    </w:p>
    <w:p>
      <w:r>
        <w:rPr>
          <w:rFonts w:ascii="Calibri" w:hAnsi="Calibri" w:eastAsia="Calibri"/>
        </w:rPr>
        <w:t>L'état par fournisseur agrège les liquidations par bénéficiaire. Il aide à analyser les montants dus ou payés par fournisseur.</w:t>
      </w:r>
    </w:p>
    <w:p>
      <w:pPr>
        <w:pStyle w:val="Heading3"/>
        <w:keepNext/>
      </w:pPr>
      <w:r>
        <w:t>Champs et affichages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 fournisseur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un fournisseur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Fournisseurs actifs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 fournisseurs concernés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Lecture directe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 total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Total des liquidations tous fournisseurs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Montant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 recalcule selon les données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Tableau fournisseur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Nb liquidations, montant, payés, en cours, pourcentage payé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Tableau</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Permet de comparer les fournisseurs</w:t>
            </w:r>
          </w:p>
        </w:tc>
      </w:tr>
    </w:tbl>
    <w:p>
      <w:pPr>
        <w:spacing w:after="40"/>
      </w:pPr>
    </w:p>
    <w:p>
      <w:r>
        <w:rPr>
          <w:rFonts w:ascii="Calibri" w:hAnsi="Calibri" w:eastAsia="Calibri"/>
        </w:rPr>
        <w:t>Cet état est utile pour préparer un point fournisseur ou vérifier qu'un fournisseur n'a pas de paiement en retard.</w:t>
      </w:r>
    </w:p>
    <w:p>
      <w:pPr>
        <w:pStyle w:val="Heading2"/>
        <w:keepNext/>
      </w:pPr>
      <w:r>
        <w:t>28. États &amp; Rapports - État par projet et site</w:t>
      </w:r>
    </w:p>
    <w:p>
      <w:pPr>
        <w:keepNext/>
        <w:jc w:val="center"/>
      </w:pPr>
      <w:r>
        <w:drawing>
          <wp:inline xmlns:a="http://schemas.openxmlformats.org/drawingml/2006/main" xmlns:pic="http://schemas.openxmlformats.org/drawingml/2006/picture">
            <wp:extent cx="5715000" cy="3215473"/>
            <wp:docPr id="26" name="Picture 26"/>
            <wp:cNvGraphicFramePr>
              <a:graphicFrameLocks noChangeAspect="1"/>
            </wp:cNvGraphicFramePr>
            <a:graphic>
              <a:graphicData uri="http://schemas.openxmlformats.org/drawingml/2006/picture">
                <pic:pic>
                  <pic:nvPicPr>
                    <pic:cNvPr id="0" name="13_etat_projets_sites.png"/>
                    <pic:cNvPicPr/>
                  </pic:nvPicPr>
                  <pic:blipFill>
                    <a:blip r:embed="rId3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État projets et sites</w:t>
      </w:r>
    </w:p>
    <w:p>
      <w:pPr>
        <w:pStyle w:val="Heading3"/>
        <w:keepNext/>
      </w:pPr>
      <w:r>
        <w:t>Présentation de l'écran</w:t>
      </w:r>
    </w:p>
    <w:p>
      <w:r>
        <w:rPr>
          <w:rFonts w:ascii="Calibri" w:hAnsi="Calibri" w:eastAsia="Calibri"/>
        </w:rPr>
        <w:t>L'état par projet et site présente la répartition des liquidations selon l'implantation. Il est utilisé par les responsables projet, les directions financières et les auditeurs.</w:t>
      </w:r>
    </w:p>
    <w:p>
      <w:pPr>
        <w:pStyle w:val="Heading3"/>
        <w:keepNext/>
      </w:pPr>
      <w:r>
        <w:t>Éléments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Projets actifs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projets ou sites concernés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Dépend des données de liquidation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Sites impliqués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sites présents dans les liquidations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Alimenté par le champ Site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Montant total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Somme globale des liquidations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Reprend les montants de Liquidations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Graphique par site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Compare volumes et montants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d'identifier les sites les plus actifs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Tableau détail par site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de liquidations, montants, payés et en cours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 suivi opérationnel</w:t>
            </w:r>
          </w:p>
        </w:tc>
      </w:tr>
    </w:tbl>
    <w:p>
      <w:pPr>
        <w:spacing w:after="40"/>
      </w:pPr>
    </w:p>
    <w:p>
      <w:r>
        <w:rPr>
          <w:rFonts w:ascii="Calibri" w:hAnsi="Calibri" w:eastAsia="Calibri"/>
        </w:rPr>
        <w:t>Un site mal renseigné dans une liquidation fausse cet état. Il est donc important de vérifier le champ Site lors de la création.</w:t>
      </w:r>
    </w:p>
    <w:p>
      <w:pPr>
        <w:pStyle w:val="Heading2"/>
        <w:keepNext/>
      </w:pPr>
      <w:r>
        <w:t>29. Utilisateurs SoftPaiement - Liste</w:t>
      </w:r>
    </w:p>
    <w:p>
      <w:pPr>
        <w:keepNext/>
        <w:jc w:val="center"/>
      </w:pPr>
      <w:r>
        <w:drawing>
          <wp:inline xmlns:a="http://schemas.openxmlformats.org/drawingml/2006/main" xmlns:pic="http://schemas.openxmlformats.org/drawingml/2006/picture">
            <wp:extent cx="5715000" cy="3215473"/>
            <wp:docPr id="27" name="Picture 27"/>
            <wp:cNvGraphicFramePr>
              <a:graphicFrameLocks noChangeAspect="1"/>
            </wp:cNvGraphicFramePr>
            <a:graphic>
              <a:graphicData uri="http://schemas.openxmlformats.org/drawingml/2006/picture">
                <pic:pic>
                  <pic:nvPicPr>
                    <pic:cNvPr id="0" name="14_utilisateurs_softpaiement.png"/>
                    <pic:cNvPicPr/>
                  </pic:nvPicPr>
                  <pic:blipFill>
                    <a:blip r:embed="rId3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Utilisateurs SoftPaiement</w:t>
      </w:r>
    </w:p>
    <w:p>
      <w:pPr>
        <w:pStyle w:val="Heading3"/>
        <w:keepNext/>
      </w:pPr>
      <w:r>
        <w:t>Présentation de l'écran</w:t>
      </w:r>
    </w:p>
    <w:p>
      <w:r>
        <w:rPr>
          <w:rFonts w:ascii="Calibri" w:hAnsi="Calibri" w:eastAsia="Calibri"/>
        </w:rPr>
        <w:t xml:space="preserve">L'écran </w:t>
      </w:r>
      <w:r>
        <w:rPr>
          <w:rFonts w:ascii="Calibri" w:hAnsi="Calibri" w:eastAsia="Calibri"/>
          <w:b/>
        </w:rPr>
        <w:t>Utilisateurs Soft E-paiement</w:t>
      </w:r>
      <w:r>
        <w:rPr>
          <w:rFonts w:ascii="Calibri" w:hAnsi="Calibri" w:eastAsia="Calibri"/>
        </w:rPr>
        <w:t xml:space="preserve"> permet de gérer les accès, les rôles, les droits, les notifications et les projets accessibles. Il est utilisé par les administrateurs.</w:t>
      </w:r>
    </w:p>
    <w:p>
      <w:pPr>
        <w:pStyle w:val="Heading3"/>
        <w:keepNext/>
      </w:pPr>
      <w:r>
        <w:t>Zones et 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Total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d'utilisateurs ayant accès à SoftPaiement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Inclut les super administrateurs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Admins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d'administrateurs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Ces utilisateurs ont des droits étendus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Gestionnaires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 gestionnaires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Utilisateurs de création et traitement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Consultation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d'utilisateurs en lecture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Accès limité aux vues de consultation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 nom, email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les utilisateurs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Filtre rôle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Filtrer par rôle SoftPaiement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Boutons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Carte utilisateur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Résumé de l'utilisateur, rôle et projets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Carte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Boutons Modifier ou Supprimer disponibles</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Nouvel utilisateur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Créer un accès SoftPaiement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Administrateur autorisé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le formulaire utilisateur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Modifier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Mettre à jour un 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Carte utilisateur existante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Ouvre le formulaire prérempli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Supprimer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Supprimer l'utilisateur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Confirmation demandée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Retire l'utilisateur de la liste</w:t>
            </w:r>
          </w:p>
        </w:tc>
      </w:tr>
    </w:tbl>
    <w:p>
      <w:pPr>
        <w:spacing w:after="40"/>
      </w:pPr>
    </w:p>
    <w:p>
      <w:pPr>
        <w:pStyle w:val="Heading2"/>
        <w:keepNext/>
      </w:pPr>
      <w:r>
        <w:t>30. Utilisateur - Informations générales</w:t>
      </w:r>
    </w:p>
    <w:p>
      <w:pPr>
        <w:keepNext/>
        <w:jc w:val="center"/>
      </w:pPr>
      <w:r>
        <w:drawing>
          <wp:inline xmlns:a="http://schemas.openxmlformats.org/drawingml/2006/main" xmlns:pic="http://schemas.openxmlformats.org/drawingml/2006/picture">
            <wp:extent cx="5715000" cy="3215473"/>
            <wp:docPr id="28" name="Picture 28"/>
            <wp:cNvGraphicFramePr>
              <a:graphicFrameLocks noChangeAspect="1"/>
            </wp:cNvGraphicFramePr>
            <a:graphic>
              <a:graphicData uri="http://schemas.openxmlformats.org/drawingml/2006/picture">
                <pic:pic>
                  <pic:nvPicPr>
                    <pic:cNvPr id="0" name="14b_utilisateur_formulaire_general.png"/>
                    <pic:cNvPicPr/>
                  </pic:nvPicPr>
                  <pic:blipFill>
                    <a:blip r:embed="rId3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Formulaire utilisateur général</w:t>
      </w:r>
    </w:p>
    <w:p>
      <w:pPr>
        <w:pStyle w:val="Heading3"/>
        <w:keepNext/>
      </w:pPr>
      <w:r>
        <w:t>Présentation de l'écran</w:t>
      </w:r>
    </w:p>
    <w:p>
      <w:r>
        <w:rPr>
          <w:rFonts w:ascii="Calibri" w:hAnsi="Calibri" w:eastAsia="Calibri"/>
        </w:rPr>
        <w:t xml:space="preserve">L'onglet </w:t>
      </w:r>
      <w:r>
        <w:rPr>
          <w:rFonts w:ascii="Calibri" w:hAnsi="Calibri" w:eastAsia="Calibri"/>
          <w:b/>
        </w:rPr>
        <w:t>Général</w:t>
      </w:r>
      <w:r>
        <w:rPr>
          <w:rFonts w:ascii="Calibri" w:hAnsi="Calibri" w:eastAsia="Calibri"/>
        </w:rPr>
        <w:t xml:space="preserve"> contient l'identité et les informations de connexion de l'utilisateur. Il est la première étape de création ou modification d'un accès.</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 complet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Identité de l'utilisateur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Initiales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Abréviation affichée dans l'interface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2 à 3 lettres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Peut être proposée automatiquement depuis le nom</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Fonction / Rôle affiché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Fonction métier visible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Email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Adresse de connexion et de notification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Adresse email</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Mot de passe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Mot de passe de l'utilisateur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confidentiel</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à la création, optionnel en modification si inchangé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Rôle système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Niveau général dans le socle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Influence les accès globaux</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Bouton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Créer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Enregistrer le nouvel 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 et email renseignés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L'utilisateur est ajouté avec accès SoftPaiement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Enregistrer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Sauvegarder les modifications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Utilisateur existant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changements sont appliqués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Annuler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Fermer sans enregistrer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Toujours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Aucun changement n'est appliqué</w:t>
            </w:r>
          </w:p>
        </w:tc>
      </w:tr>
    </w:tbl>
    <w:p>
      <w:pPr>
        <w:spacing w:after="40"/>
      </w:pPr>
    </w:p>
    <w:p>
      <w:pPr>
        <w:pStyle w:val="Heading2"/>
        <w:keepNext/>
      </w:pPr>
      <w:r>
        <w:t>31. Utilisateur - Droits SoftPaiement</w:t>
      </w:r>
    </w:p>
    <w:p>
      <w:pPr>
        <w:keepNext/>
        <w:jc w:val="center"/>
      </w:pPr>
      <w:r>
        <w:drawing>
          <wp:inline xmlns:a="http://schemas.openxmlformats.org/drawingml/2006/main" xmlns:pic="http://schemas.openxmlformats.org/drawingml/2006/picture">
            <wp:extent cx="5715000" cy="3215473"/>
            <wp:docPr id="29" name="Picture 29"/>
            <wp:cNvGraphicFramePr>
              <a:graphicFrameLocks noChangeAspect="1"/>
            </wp:cNvGraphicFramePr>
            <a:graphic>
              <a:graphicData uri="http://schemas.openxmlformats.org/drawingml/2006/picture">
                <pic:pic>
                  <pic:nvPicPr>
                    <pic:cNvPr id="0" name="14c_utilisateur_droits_softpaiement.png"/>
                    <pic:cNvPicPr/>
                  </pic:nvPicPr>
                  <pic:blipFill>
                    <a:blip r:embed="rId3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Droits SoftPaiement utilisateur</w:t>
      </w:r>
    </w:p>
    <w:p>
      <w:pPr>
        <w:pStyle w:val="Heading3"/>
        <w:keepNext/>
      </w:pPr>
      <w:r>
        <w:t>Présentation de l'écran</w:t>
      </w:r>
    </w:p>
    <w:p>
      <w:r>
        <w:rPr>
          <w:rFonts w:ascii="Calibri" w:hAnsi="Calibri" w:eastAsia="Calibri"/>
        </w:rPr>
        <w:t xml:space="preserve">L'onglet </w:t>
      </w:r>
      <w:r>
        <w:rPr>
          <w:rFonts w:ascii="Calibri" w:hAnsi="Calibri" w:eastAsia="Calibri"/>
          <w:b/>
        </w:rPr>
        <w:t>Soft E-paiement</w:t>
      </w:r>
      <w:r>
        <w:rPr>
          <w:rFonts w:ascii="Calibri" w:hAnsi="Calibri" w:eastAsia="Calibri"/>
        </w:rPr>
        <w:t xml:space="preserve"> définit le rôle métier, les notifications et les droits spécifiques au module.</w:t>
      </w:r>
    </w:p>
    <w:p>
      <w:pPr>
        <w:pStyle w:val="Heading3"/>
        <w:keepNext/>
      </w:pPr>
      <w:r>
        <w:t>Champs et droits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ou droit</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Rôle E-paiement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Déterminer le profil fonctionnel</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 Administrateur, Gestionnaire, Valideur liquidations, Consultation uniquement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Influence l'utilisation quotidienne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Notifications par email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Choisir les événements à notifier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Cases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Envoie des alertes selon les choix</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Gérer les liquidations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Autoriser création, modification et suppression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Donne accès aux actions de l'écran Liquidations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Gérer les paiements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Autoriser la gestion de la liste des paiements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Donne accès aux actions de paiement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Générer fichiers XML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Autoriser la génération bancaire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Donne accès aux actions de l'écran Paiements XML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Paramétrage avancé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Autoriser natures, balises et mappages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Donne accès aux écrans de paramétrage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Saisie avances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Autoriser la saisie d'avances financières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Selon processus interne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Saisie liquidations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Autoriser la saisie et finalisation des liquidations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Complète les droits de liquidation</w:t>
            </w:r>
          </w:p>
        </w:tc>
      </w:tr>
    </w:tbl>
    <w:p>
      <w:pPr>
        <w:spacing w:after="40"/>
      </w:pPr>
    </w:p>
    <w:p>
      <w:r>
        <w:rPr>
          <w:rFonts w:ascii="Calibri" w:hAnsi="Calibri" w:eastAsia="Calibri"/>
        </w:rPr>
        <w:t>Un utilisateur sans droit de génération XML ne doit pas pouvoir produire de fichier bancaire, même s'il consulte les documents éligibles.</w:t>
      </w:r>
    </w:p>
    <w:p>
      <w:pPr>
        <w:pStyle w:val="Heading2"/>
        <w:keepNext/>
      </w:pPr>
      <w:r>
        <w:t>32. Utilisateur - Projets et sites</w:t>
      </w:r>
    </w:p>
    <w:p>
      <w:pPr>
        <w:keepNext/>
        <w:jc w:val="center"/>
      </w:pPr>
      <w:r>
        <w:drawing>
          <wp:inline xmlns:a="http://schemas.openxmlformats.org/drawingml/2006/main" xmlns:pic="http://schemas.openxmlformats.org/drawingml/2006/picture">
            <wp:extent cx="5715000" cy="3215473"/>
            <wp:docPr id="30" name="Picture 30"/>
            <wp:cNvGraphicFramePr>
              <a:graphicFrameLocks noChangeAspect="1"/>
            </wp:cNvGraphicFramePr>
            <a:graphic>
              <a:graphicData uri="http://schemas.openxmlformats.org/drawingml/2006/picture">
                <pic:pic>
                  <pic:nvPicPr>
                    <pic:cNvPr id="0" name="14d_utilisateur_projets_sites.png"/>
                    <pic:cNvPicPr/>
                  </pic:nvPicPr>
                  <pic:blipFill>
                    <a:blip r:embed="rId3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Écran Projets et sites utilisateur</w:t>
      </w:r>
    </w:p>
    <w:p>
      <w:pPr>
        <w:pStyle w:val="Heading3"/>
        <w:keepNext/>
      </w:pPr>
      <w:r>
        <w:t>Présentation de l'écran</w:t>
      </w:r>
    </w:p>
    <w:p>
      <w:r>
        <w:rPr>
          <w:rFonts w:ascii="Calibri" w:hAnsi="Calibri" w:eastAsia="Calibri"/>
        </w:rPr>
        <w:t xml:space="preserve">L'onglet </w:t>
      </w:r>
      <w:r>
        <w:rPr>
          <w:rFonts w:ascii="Calibri" w:hAnsi="Calibri" w:eastAsia="Calibri"/>
          <w:b/>
        </w:rPr>
        <w:t>Projets &amp; Sites</w:t>
      </w:r>
      <w:r>
        <w:rPr>
          <w:rFonts w:ascii="Calibri" w:hAnsi="Calibri" w:eastAsia="Calibri"/>
        </w:rPr>
        <w:t xml:space="preserve"> limite l'accès de l'utilisateur aux projets et sites autorisés. Il est utilisé pour respecter l'organisation interne et éviter qu'un utilisateur consulte ou traite des dossiers hors périmètre.</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 et relations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Regroupe les sites d'un même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Cocher le projet peut sélectionner tous ses sites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 un site précis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Badge ou case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Les liquidations et rapports peuvent dépendre de ces sites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Compteur de sites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combien de sites sont sélectionnés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Aide à vérifier le périmètre</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Cocher un 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Donner accès à tous les sites du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Projet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Tous les sites du projet sont sélectionnés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Cocher un 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Donner accès à un site précis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Site disponible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L'utilisateur accède à ce site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Décocher un 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Retirer l'accès à un site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Site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L'utilisateur ne doit plus traiter ce site</w:t>
            </w:r>
          </w:p>
        </w:tc>
      </w:tr>
    </w:tbl>
    <w:p>
      <w:pPr>
        <w:spacing w:after="40"/>
      </w:pPr>
    </w:p>
    <w:p>
      <w:pPr>
        <w:pStyle w:val="Heading2"/>
        <w:keepNext/>
      </w:pPr>
      <w:r>
        <w:t>33. Parcours utilisateur complet</w:t>
      </w:r>
    </w:p>
    <w:p>
      <w:pPr>
        <w:pStyle w:val="Heading3"/>
        <w:keepNext/>
      </w:pPr>
      <w:r>
        <w:t>Parcours A - Transformer un document SoftDocs en liquidation</w:t>
      </w:r>
    </w:p>
    <w:p>
      <w:pPr>
        <w:pStyle w:val="ListNumber"/>
      </w:pPr>
      <w:r>
        <w:rPr>
          <w:rFonts w:ascii="Calibri" w:hAnsi="Calibri" w:eastAsia="Calibri"/>
        </w:rPr>
        <w:t xml:space="preserve">Le document est validé dans SoftDocs et atteint le statut </w:t>
      </w:r>
      <w:r>
        <w:rPr>
          <w:rFonts w:ascii="Calibri" w:hAnsi="Calibri" w:eastAsia="Calibri"/>
          <w:b/>
        </w:rPr>
        <w:t>BON À PAYER</w:t>
      </w:r>
      <w:r>
        <w:rPr>
          <w:rFonts w:ascii="Calibri" w:hAnsi="Calibri" w:eastAsia="Calibri"/>
        </w:rPr>
        <w:t>.</w:t>
      </w:r>
    </w:p>
    <w:p>
      <w:pPr>
        <w:pStyle w:val="ListNumber"/>
      </w:pPr>
      <w:r>
        <w:rPr>
          <w:rFonts w:ascii="Calibri" w:hAnsi="Calibri" w:eastAsia="Calibri"/>
        </w:rPr>
        <w:t xml:space="preserve">Dans SoftPaiement, ouvrir </w:t>
      </w:r>
      <w:r>
        <w:rPr>
          <w:rFonts w:ascii="Calibri" w:hAnsi="Calibri" w:eastAsia="Calibri"/>
          <w:b/>
        </w:rPr>
        <w:t>Liquidations</w:t>
      </w:r>
      <w:r>
        <w:rPr>
          <w:rFonts w:ascii="Calibri" w:hAnsi="Calibri" w:eastAsia="Calibri"/>
        </w:rPr>
        <w:t>.</w:t>
      </w:r>
    </w:p>
    <w:p>
      <w:pPr>
        <w:pStyle w:val="ListNumber"/>
      </w:pPr>
      <w:r>
        <w:rPr>
          <w:rFonts w:ascii="Calibri" w:hAnsi="Calibri" w:eastAsia="Calibri"/>
        </w:rPr>
        <w:t xml:space="preserve">Cliquer sur </w:t>
      </w:r>
      <w:r>
        <w:rPr>
          <w:rFonts w:ascii="Calibri" w:hAnsi="Calibri" w:eastAsia="Calibri"/>
          <w:b/>
        </w:rPr>
        <w:t>Récup SoftDocs</w:t>
      </w:r>
      <w:r>
        <w:rPr>
          <w:rFonts w:ascii="Calibri" w:hAnsi="Calibri" w:eastAsia="Calibri"/>
        </w:rPr>
        <w:t>.</w:t>
      </w:r>
    </w:p>
    <w:p>
      <w:pPr>
        <w:pStyle w:val="ListNumber"/>
      </w:pPr>
      <w:r>
        <w:rPr>
          <w:rFonts w:ascii="Calibri" w:hAnsi="Calibri" w:eastAsia="Calibri"/>
        </w:rPr>
        <w:t>Sélectionner le ou les documents éligibles.</w:t>
      </w:r>
    </w:p>
    <w:p>
      <w:pPr>
        <w:pStyle w:val="ListNumber"/>
      </w:pPr>
      <w:r>
        <w:rPr>
          <w:rFonts w:ascii="Calibri" w:hAnsi="Calibri" w:eastAsia="Calibri"/>
        </w:rPr>
        <w:t xml:space="preserve">Cliquer sur </w:t>
      </w:r>
      <w:r>
        <w:rPr>
          <w:rFonts w:ascii="Calibri" w:hAnsi="Calibri" w:eastAsia="Calibri"/>
          <w:b/>
        </w:rPr>
        <w:t>Importer</w:t>
      </w:r>
      <w:r>
        <w:rPr>
          <w:rFonts w:ascii="Calibri" w:hAnsi="Calibri" w:eastAsia="Calibri"/>
        </w:rPr>
        <w:t>.</w:t>
      </w:r>
    </w:p>
    <w:p>
      <w:pPr>
        <w:pStyle w:val="ListNumber"/>
      </w:pPr>
      <w:r>
        <w:rPr>
          <w:rFonts w:ascii="Calibri" w:hAnsi="Calibri" w:eastAsia="Calibri"/>
        </w:rPr>
        <w:t>Ouvrir la liquidation créée et compléter site, facture, devise, imputations et pièces justificatives.</w:t>
      </w:r>
    </w:p>
    <w:p>
      <w:pPr>
        <w:pStyle w:val="ListNumber"/>
      </w:pPr>
      <w:r>
        <w:rPr>
          <w:rFonts w:ascii="Calibri" w:hAnsi="Calibri" w:eastAsia="Calibri"/>
        </w:rPr>
        <w:t>Enregistrer puis clôturer la liquidation.</w:t>
      </w:r>
    </w:p>
    <w:p>
      <w:r>
        <w:rPr>
          <w:rFonts w:ascii="Calibri" w:hAnsi="Calibri" w:eastAsia="Calibri"/>
        </w:rPr>
        <w:t>Ce parcours relie SoftDocs à SoftPaiement. Un document non validé ou non bon à payer ne doit pas être proposé dans la récupération.</w:t>
      </w:r>
    </w:p>
    <w:p>
      <w:pPr>
        <w:pStyle w:val="Heading3"/>
        <w:keepNext/>
      </w:pPr>
      <w:r>
        <w:t>Parcours B - Créer une liquidation manuellement</w:t>
      </w:r>
    </w:p>
    <w:p>
      <w:pPr>
        <w:pStyle w:val="ListNumber"/>
      </w:pPr>
      <w:r>
        <w:rPr>
          <w:rFonts w:ascii="Calibri" w:hAnsi="Calibri" w:eastAsia="Calibri"/>
        </w:rPr>
        <w:t xml:space="preserve">Ouvrir </w:t>
      </w:r>
      <w:r>
        <w:rPr>
          <w:rFonts w:ascii="Calibri" w:hAnsi="Calibri" w:eastAsia="Calibri"/>
          <w:b/>
        </w:rPr>
        <w:t>Liquidations</w:t>
      </w:r>
      <w:r>
        <w:rPr>
          <w:rFonts w:ascii="Calibri" w:hAnsi="Calibri" w:eastAsia="Calibri"/>
        </w:rPr>
        <w:t>.</w:t>
      </w:r>
    </w:p>
    <w:p>
      <w:pPr>
        <w:pStyle w:val="ListNumber"/>
      </w:pPr>
      <w:r>
        <w:rPr>
          <w:rFonts w:ascii="Calibri" w:hAnsi="Calibri" w:eastAsia="Calibri"/>
        </w:rPr>
        <w:t xml:space="preserve">Cliquer sur </w:t>
      </w:r>
      <w:r>
        <w:rPr>
          <w:rFonts w:ascii="Calibri" w:hAnsi="Calibri" w:eastAsia="Calibri"/>
          <w:b/>
        </w:rPr>
        <w:t>Nouvelle liquidation</w:t>
      </w:r>
      <w:r>
        <w:rPr>
          <w:rFonts w:ascii="Calibri" w:hAnsi="Calibri" w:eastAsia="Calibri"/>
        </w:rPr>
        <w:t>.</w:t>
      </w:r>
    </w:p>
    <w:p>
      <w:pPr>
        <w:pStyle w:val="ListNumber"/>
      </w:pPr>
      <w:r>
        <w:rPr>
          <w:rFonts w:ascii="Calibri" w:hAnsi="Calibri" w:eastAsia="Calibri"/>
        </w:rPr>
        <w:t>Renseigner les informations de base, la facture et la devise.</w:t>
      </w:r>
    </w:p>
    <w:p>
      <w:pPr>
        <w:pStyle w:val="ListNumber"/>
      </w:pPr>
      <w:r>
        <w:rPr>
          <w:rFonts w:ascii="Calibri" w:hAnsi="Calibri" w:eastAsia="Calibri"/>
        </w:rPr>
        <w:t>Ajouter les imputations comptables.</w:t>
      </w:r>
    </w:p>
    <w:p>
      <w:pPr>
        <w:pStyle w:val="ListNumber"/>
      </w:pPr>
      <w:r>
        <w:rPr>
          <w:rFonts w:ascii="Calibri" w:hAnsi="Calibri" w:eastAsia="Calibri"/>
        </w:rPr>
        <w:t>Ajouter les pièces justificatives.</w:t>
      </w:r>
    </w:p>
    <w:p>
      <w:pPr>
        <w:pStyle w:val="ListNumber"/>
      </w:pPr>
      <w:r>
        <w:rPr>
          <w:rFonts w:ascii="Calibri" w:hAnsi="Calibri" w:eastAsia="Calibri"/>
        </w:rPr>
        <w:t>Enregistrer la liquidation.</w:t>
      </w:r>
    </w:p>
    <w:p>
      <w:pPr>
        <w:pStyle w:val="ListNumber"/>
      </w:pPr>
      <w:r>
        <w:rPr>
          <w:rFonts w:ascii="Calibri" w:hAnsi="Calibri" w:eastAsia="Calibri"/>
        </w:rPr>
        <w:t>Synchroniser avec TOMPRO si le processus le demande.</w:t>
      </w:r>
    </w:p>
    <w:p>
      <w:pPr>
        <w:pStyle w:val="ListNumber"/>
      </w:pPr>
      <w:r>
        <w:rPr>
          <w:rFonts w:ascii="Calibri" w:hAnsi="Calibri" w:eastAsia="Calibri"/>
        </w:rPr>
        <w:t>Clôturer la liquidation lorsqu'elle est prête à payer.</w:t>
      </w:r>
    </w:p>
    <w:p>
      <w:r>
        <w:rPr>
          <w:rFonts w:ascii="Calibri" w:hAnsi="Calibri" w:eastAsia="Calibri"/>
        </w:rPr>
        <w:t>La clôture est l'étape qui rend la liquidation disponible pour la liste des paiements.</w:t>
      </w:r>
    </w:p>
    <w:p>
      <w:pPr>
        <w:pStyle w:val="Heading3"/>
        <w:keepNext/>
      </w:pPr>
      <w:r>
        <w:t>Parcours C - Récupérer une liquidation clôturée dans les paiements</w:t>
      </w:r>
    </w:p>
    <w:p>
      <w:pPr>
        <w:pStyle w:val="ListNumber"/>
      </w:pPr>
      <w:r>
        <w:rPr>
          <w:rFonts w:ascii="Calibri" w:hAnsi="Calibri" w:eastAsia="Calibri"/>
        </w:rPr>
        <w:t xml:space="preserve">Ouvrir </w:t>
      </w:r>
      <w:r>
        <w:rPr>
          <w:rFonts w:ascii="Calibri" w:hAnsi="Calibri" w:eastAsia="Calibri"/>
          <w:b/>
        </w:rPr>
        <w:t>Liste des paiements</w:t>
      </w:r>
      <w:r>
        <w:rPr>
          <w:rFonts w:ascii="Calibri" w:hAnsi="Calibri" w:eastAsia="Calibri"/>
        </w:rPr>
        <w:t>.</w:t>
      </w:r>
    </w:p>
    <w:p>
      <w:pPr>
        <w:pStyle w:val="ListNumber"/>
      </w:pPr>
      <w:r>
        <w:rPr>
          <w:rFonts w:ascii="Calibri" w:hAnsi="Calibri" w:eastAsia="Calibri"/>
        </w:rPr>
        <w:t xml:space="preserve">Cliquer sur </w:t>
      </w:r>
      <w:r>
        <w:rPr>
          <w:rFonts w:ascii="Calibri" w:hAnsi="Calibri" w:eastAsia="Calibri"/>
          <w:b/>
        </w:rPr>
        <w:t>Recuperer liquidation</w:t>
      </w:r>
      <w:r>
        <w:rPr>
          <w:rFonts w:ascii="Calibri" w:hAnsi="Calibri" w:eastAsia="Calibri"/>
        </w:rPr>
        <w:t>.</w:t>
      </w:r>
    </w:p>
    <w:p>
      <w:pPr>
        <w:pStyle w:val="ListNumber"/>
      </w:pPr>
      <w:r>
        <w:rPr>
          <w:rFonts w:ascii="Calibri" w:hAnsi="Calibri" w:eastAsia="Calibri"/>
        </w:rPr>
        <w:t>Sélectionner les liquidations clôturées à importer.</w:t>
      </w:r>
    </w:p>
    <w:p>
      <w:pPr>
        <w:pStyle w:val="ListNumber"/>
      </w:pPr>
      <w:r>
        <w:rPr>
          <w:rFonts w:ascii="Calibri" w:hAnsi="Calibri" w:eastAsia="Calibri"/>
        </w:rPr>
        <w:t xml:space="preserve">Cliquer sur </w:t>
      </w:r>
      <w:r>
        <w:rPr>
          <w:rFonts w:ascii="Calibri" w:hAnsi="Calibri" w:eastAsia="Calibri"/>
          <w:b/>
        </w:rPr>
        <w:t>Importer</w:t>
      </w:r>
      <w:r>
        <w:rPr>
          <w:rFonts w:ascii="Calibri" w:hAnsi="Calibri" w:eastAsia="Calibri"/>
        </w:rPr>
        <w:t>.</w:t>
      </w:r>
    </w:p>
    <w:p>
      <w:pPr>
        <w:pStyle w:val="ListNumber"/>
      </w:pPr>
      <w:r>
        <w:rPr>
          <w:rFonts w:ascii="Calibri" w:hAnsi="Calibri" w:eastAsia="Calibri"/>
        </w:rPr>
        <w:t>Vérifier que les lignes apparaissent dans la liste des paiements.</w:t>
      </w:r>
    </w:p>
    <w:p>
      <w:r>
        <w:rPr>
          <w:rFonts w:ascii="Calibri" w:hAnsi="Calibri" w:eastAsia="Calibri"/>
        </w:rPr>
        <w:t>Les liquidations non clôturées ou déjà importées ne sont pas proposées.</w:t>
      </w:r>
    </w:p>
    <w:p>
      <w:pPr>
        <w:pStyle w:val="Heading3"/>
        <w:keepNext/>
      </w:pPr>
      <w:r>
        <w:t>Parcours D - Initier un paiement mobile</w:t>
      </w:r>
    </w:p>
    <w:p>
      <w:pPr>
        <w:pStyle w:val="ListNumber"/>
      </w:pPr>
      <w:r>
        <w:rPr>
          <w:rFonts w:ascii="Calibri" w:hAnsi="Calibri" w:eastAsia="Calibri"/>
        </w:rPr>
        <w:t xml:space="preserve">Ouvrir </w:t>
      </w:r>
      <w:r>
        <w:rPr>
          <w:rFonts w:ascii="Calibri" w:hAnsi="Calibri" w:eastAsia="Calibri"/>
          <w:b/>
        </w:rPr>
        <w:t>Liste des paiements</w:t>
      </w:r>
      <w:r>
        <w:rPr>
          <w:rFonts w:ascii="Calibri" w:hAnsi="Calibri" w:eastAsia="Calibri"/>
        </w:rPr>
        <w:t>.</w:t>
      </w:r>
    </w:p>
    <w:p>
      <w:pPr>
        <w:pStyle w:val="ListNumber"/>
      </w:pPr>
      <w:r>
        <w:rPr>
          <w:rFonts w:ascii="Calibri" w:hAnsi="Calibri" w:eastAsia="Calibri"/>
        </w:rPr>
        <w:t>Sélectionner un seul paiement au statut éligible.</w:t>
      </w:r>
    </w:p>
    <w:p>
      <w:pPr>
        <w:pStyle w:val="ListNumber"/>
      </w:pPr>
      <w:r>
        <w:rPr>
          <w:rFonts w:ascii="Calibri" w:hAnsi="Calibri" w:eastAsia="Calibri"/>
        </w:rPr>
        <w:t xml:space="preserve">Cliquer sur </w:t>
      </w:r>
      <w:r>
        <w:rPr>
          <w:rFonts w:ascii="Calibri" w:hAnsi="Calibri" w:eastAsia="Calibri"/>
          <w:b/>
        </w:rPr>
        <w:t>Payer</w:t>
      </w:r>
      <w:r>
        <w:rPr>
          <w:rFonts w:ascii="Calibri" w:hAnsi="Calibri" w:eastAsia="Calibri"/>
        </w:rPr>
        <w:t>.</w:t>
      </w:r>
    </w:p>
    <w:p>
      <w:pPr>
        <w:pStyle w:val="ListNumber"/>
      </w:pPr>
      <w:r>
        <w:rPr>
          <w:rFonts w:ascii="Calibri" w:hAnsi="Calibri" w:eastAsia="Calibri"/>
        </w:rPr>
        <w:t>Choisir l'opérateur mobile money.</w:t>
      </w:r>
    </w:p>
    <w:p>
      <w:pPr>
        <w:pStyle w:val="ListNumber"/>
      </w:pPr>
      <w:r>
        <w:rPr>
          <w:rFonts w:ascii="Calibri" w:hAnsi="Calibri" w:eastAsia="Calibri"/>
        </w:rPr>
        <w:t xml:space="preserve">Choisir </w:t>
      </w:r>
      <w:r>
        <w:rPr>
          <w:rFonts w:ascii="Calibri" w:hAnsi="Calibri" w:eastAsia="Calibri"/>
          <w:b/>
        </w:rPr>
        <w:t>Vanilla Pay</w:t>
      </w:r>
      <w:r>
        <w:rPr>
          <w:rFonts w:ascii="Calibri" w:hAnsi="Calibri" w:eastAsia="Calibri"/>
        </w:rPr>
        <w:t>.</w:t>
      </w:r>
    </w:p>
    <w:p>
      <w:pPr>
        <w:pStyle w:val="ListNumber"/>
      </w:pPr>
      <w:r>
        <w:rPr>
          <w:rFonts w:ascii="Calibri" w:hAnsi="Calibri" w:eastAsia="Calibri"/>
        </w:rPr>
        <w:t xml:space="preserve">Cliquer sur </w:t>
      </w:r>
      <w:r>
        <w:rPr>
          <w:rFonts w:ascii="Calibri" w:hAnsi="Calibri" w:eastAsia="Calibri"/>
          <w:b/>
        </w:rPr>
        <w:t>Continuer</w:t>
      </w:r>
      <w:r>
        <w:rPr>
          <w:rFonts w:ascii="Calibri" w:hAnsi="Calibri" w:eastAsia="Calibri"/>
        </w:rPr>
        <w:t>.</w:t>
      </w:r>
    </w:p>
    <w:p>
      <w:pPr>
        <w:pStyle w:val="ListNumber"/>
      </w:pPr>
      <w:r>
        <w:rPr>
          <w:rFonts w:ascii="Calibri" w:hAnsi="Calibri" w:eastAsia="Calibri"/>
        </w:rPr>
        <w:t>Vérifier la référence, le bénéficiaire, le numéro et le montant.</w:t>
      </w:r>
    </w:p>
    <w:p>
      <w:pPr>
        <w:pStyle w:val="ListNumber"/>
      </w:pPr>
      <w:r>
        <w:rPr>
          <w:rFonts w:ascii="Calibri" w:hAnsi="Calibri" w:eastAsia="Calibri"/>
        </w:rPr>
        <w:t xml:space="preserve">Cliquer sur </w:t>
      </w:r>
      <w:r>
        <w:rPr>
          <w:rFonts w:ascii="Calibri" w:hAnsi="Calibri" w:eastAsia="Calibri"/>
          <w:b/>
        </w:rPr>
        <w:t>Confirmer le paiement</w:t>
      </w:r>
      <w:r>
        <w:rPr>
          <w:rFonts w:ascii="Calibri" w:hAnsi="Calibri" w:eastAsia="Calibri"/>
        </w:rPr>
        <w:t>.</w:t>
      </w:r>
    </w:p>
    <w:p>
      <w:r>
        <w:rPr>
          <w:rFonts w:ascii="Calibri" w:hAnsi="Calibri" w:eastAsia="Calibri"/>
        </w:rPr>
        <w:t xml:space="preserve">Après confirmation, le paiement passe au statut </w:t>
      </w:r>
      <w:r>
        <w:rPr>
          <w:rFonts w:ascii="Calibri" w:hAnsi="Calibri" w:eastAsia="Calibri"/>
          <w:b/>
        </w:rPr>
        <w:t>Paiement initie</w:t>
      </w:r>
      <w:r>
        <w:rPr>
          <w:rFonts w:ascii="Calibri" w:hAnsi="Calibri" w:eastAsia="Calibri"/>
        </w:rPr>
        <w:t>. Il devient visible dans le tableau de bord et dans l'état des paiements.</w:t>
      </w:r>
    </w:p>
    <w:p>
      <w:pPr>
        <w:pStyle w:val="Heading3"/>
        <w:keepNext/>
      </w:pPr>
      <w:r>
        <w:t>Parcours E - Générer un fichier bancaire XML</w:t>
      </w:r>
    </w:p>
    <w:p>
      <w:pPr>
        <w:pStyle w:val="ListNumber"/>
      </w:pPr>
      <w:r>
        <w:rPr>
          <w:rFonts w:ascii="Calibri" w:hAnsi="Calibri" w:eastAsia="Calibri"/>
        </w:rPr>
        <w:t xml:space="preserve">Vérifier les paramètres dans </w:t>
      </w:r>
      <w:r>
        <w:rPr>
          <w:rFonts w:ascii="Calibri" w:hAnsi="Calibri" w:eastAsia="Calibri"/>
          <w:b/>
        </w:rPr>
        <w:t>Nature de remise</w:t>
      </w:r>
      <w:r>
        <w:rPr>
          <w:rFonts w:ascii="Calibri" w:hAnsi="Calibri" w:eastAsia="Calibri"/>
        </w:rPr>
        <w:t xml:space="preserve">, </w:t>
      </w:r>
      <w:r>
        <w:rPr>
          <w:rFonts w:ascii="Calibri" w:hAnsi="Calibri" w:eastAsia="Calibri"/>
          <w:b/>
        </w:rPr>
        <w:t>Balise XML</w:t>
      </w:r>
      <w:r>
        <w:rPr>
          <w:rFonts w:ascii="Calibri" w:hAnsi="Calibri" w:eastAsia="Calibri"/>
        </w:rPr>
        <w:t xml:space="preserve"> et </w:t>
      </w:r>
      <w:r>
        <w:rPr>
          <w:rFonts w:ascii="Calibri" w:hAnsi="Calibri" w:eastAsia="Calibri"/>
          <w:b/>
        </w:rPr>
        <w:t>Mappage XML - Banques</w:t>
      </w:r>
      <w:r>
        <w:rPr>
          <w:rFonts w:ascii="Calibri" w:hAnsi="Calibri" w:eastAsia="Calibri"/>
        </w:rPr>
        <w:t>.</w:t>
      </w:r>
    </w:p>
    <w:p>
      <w:pPr>
        <w:pStyle w:val="ListNumber"/>
      </w:pPr>
      <w:r>
        <w:rPr>
          <w:rFonts w:ascii="Calibri" w:hAnsi="Calibri" w:eastAsia="Calibri"/>
        </w:rPr>
        <w:t xml:space="preserve">Ouvrir </w:t>
      </w:r>
      <w:r>
        <w:rPr>
          <w:rFonts w:ascii="Calibri" w:hAnsi="Calibri" w:eastAsia="Calibri"/>
          <w:b/>
        </w:rPr>
        <w:t>Paiements &gt; Génération fichier banque</w:t>
      </w:r>
      <w:r>
        <w:rPr>
          <w:rFonts w:ascii="Calibri" w:hAnsi="Calibri" w:eastAsia="Calibri"/>
        </w:rPr>
        <w:t>.</w:t>
      </w:r>
    </w:p>
    <w:p>
      <w:pPr>
        <w:pStyle w:val="ListNumber"/>
      </w:pPr>
      <w:r>
        <w:rPr>
          <w:rFonts w:ascii="Calibri" w:hAnsi="Calibri" w:eastAsia="Calibri"/>
        </w:rPr>
        <w:t>Choisir le schéma bancaire adapté.</w:t>
      </w:r>
    </w:p>
    <w:p>
      <w:pPr>
        <w:pStyle w:val="ListNumber"/>
      </w:pPr>
      <w:r>
        <w:rPr>
          <w:rFonts w:ascii="Calibri" w:hAnsi="Calibri" w:eastAsia="Calibri"/>
        </w:rPr>
        <w:t>Sélectionner les documents bons à payer à inclure.</w:t>
      </w:r>
    </w:p>
    <w:p>
      <w:pPr>
        <w:pStyle w:val="ListNumber"/>
      </w:pPr>
      <w:r>
        <w:rPr>
          <w:rFonts w:ascii="Calibri" w:hAnsi="Calibri" w:eastAsia="Calibri"/>
        </w:rPr>
        <w:t>Contrôler le total sélectionné.</w:t>
      </w:r>
    </w:p>
    <w:p>
      <w:pPr>
        <w:pStyle w:val="ListNumber"/>
      </w:pPr>
      <w:r>
        <w:rPr>
          <w:rFonts w:ascii="Calibri" w:hAnsi="Calibri" w:eastAsia="Calibri"/>
        </w:rPr>
        <w:t xml:space="preserve">Cliquer sur </w:t>
      </w:r>
      <w:r>
        <w:rPr>
          <w:rFonts w:ascii="Calibri" w:hAnsi="Calibri" w:eastAsia="Calibri"/>
          <w:b/>
        </w:rPr>
        <w:t>Générer XML</w:t>
      </w:r>
      <w:r>
        <w:rPr>
          <w:rFonts w:ascii="Calibri" w:hAnsi="Calibri" w:eastAsia="Calibri"/>
        </w:rPr>
        <w:t>.</w:t>
      </w:r>
    </w:p>
    <w:p>
      <w:pPr>
        <w:pStyle w:val="ListNumber"/>
      </w:pPr>
      <w:r>
        <w:rPr>
          <w:rFonts w:ascii="Calibri" w:hAnsi="Calibri" w:eastAsia="Calibri"/>
        </w:rPr>
        <w:t>Confirmer la génération et télécharger le fichier.</w:t>
      </w:r>
    </w:p>
    <w:p>
      <w:r>
        <w:rPr>
          <w:rFonts w:ascii="Calibri" w:hAnsi="Calibri" w:eastAsia="Calibri"/>
        </w:rPr>
        <w:t>Si la nature de remise ou le mappage bancaire n'est pas conforme, le fichier risque de ne pas répondre aux attentes de la banque.</w:t>
      </w:r>
    </w:p>
    <w:p>
      <w:pPr>
        <w:pStyle w:val="Heading3"/>
        <w:keepNext/>
      </w:pPr>
      <w:r>
        <w:t>Parcours F - Piloter l'activité</w:t>
      </w:r>
    </w:p>
    <w:p>
      <w:pPr>
        <w:pStyle w:val="ListNumber"/>
      </w:pPr>
      <w:r>
        <w:rPr>
          <w:rFonts w:ascii="Calibri" w:hAnsi="Calibri" w:eastAsia="Calibri"/>
        </w:rPr>
        <w:t xml:space="preserve">Consulter le </w:t>
      </w:r>
      <w:r>
        <w:rPr>
          <w:rFonts w:ascii="Calibri" w:hAnsi="Calibri" w:eastAsia="Calibri"/>
          <w:b/>
        </w:rPr>
        <w:t>Tableau de bord EP</w:t>
      </w:r>
      <w:r>
        <w:rPr>
          <w:rFonts w:ascii="Calibri" w:hAnsi="Calibri" w:eastAsia="Calibri"/>
        </w:rPr>
        <w:t xml:space="preserve"> pour une synthèse rapide.</w:t>
      </w:r>
    </w:p>
    <w:p>
      <w:pPr>
        <w:pStyle w:val="ListNumber"/>
      </w:pPr>
      <w:r>
        <w:rPr>
          <w:rFonts w:ascii="Calibri" w:hAnsi="Calibri" w:eastAsia="Calibri"/>
        </w:rPr>
        <w:t xml:space="preserve">Ouvrir </w:t>
      </w:r>
      <w:r>
        <w:rPr>
          <w:rFonts w:ascii="Calibri" w:hAnsi="Calibri" w:eastAsia="Calibri"/>
          <w:b/>
        </w:rPr>
        <w:t>État liquidations</w:t>
      </w:r>
      <w:r>
        <w:rPr>
          <w:rFonts w:ascii="Calibri" w:hAnsi="Calibri" w:eastAsia="Calibri"/>
        </w:rPr>
        <w:t xml:space="preserve"> pour contrôler les dossiers.</w:t>
      </w:r>
    </w:p>
    <w:p>
      <w:pPr>
        <w:pStyle w:val="ListNumber"/>
      </w:pPr>
      <w:r>
        <w:rPr>
          <w:rFonts w:ascii="Calibri" w:hAnsi="Calibri" w:eastAsia="Calibri"/>
        </w:rPr>
        <w:t xml:space="preserve">Ouvrir </w:t>
      </w:r>
      <w:r>
        <w:rPr>
          <w:rFonts w:ascii="Calibri" w:hAnsi="Calibri" w:eastAsia="Calibri"/>
          <w:b/>
        </w:rPr>
        <w:t>État générations</w:t>
      </w:r>
      <w:r>
        <w:rPr>
          <w:rFonts w:ascii="Calibri" w:hAnsi="Calibri" w:eastAsia="Calibri"/>
        </w:rPr>
        <w:t xml:space="preserve"> pour identifier les transmissions en attente.</w:t>
      </w:r>
    </w:p>
    <w:p>
      <w:pPr>
        <w:pStyle w:val="ListNumber"/>
      </w:pPr>
      <w:r>
        <w:rPr>
          <w:rFonts w:ascii="Calibri" w:hAnsi="Calibri" w:eastAsia="Calibri"/>
        </w:rPr>
        <w:t xml:space="preserve">Ouvrir </w:t>
      </w:r>
      <w:r>
        <w:rPr>
          <w:rFonts w:ascii="Calibri" w:hAnsi="Calibri" w:eastAsia="Calibri"/>
          <w:b/>
        </w:rPr>
        <w:t>État paiements</w:t>
      </w:r>
      <w:r>
        <w:rPr>
          <w:rFonts w:ascii="Calibri" w:hAnsi="Calibri" w:eastAsia="Calibri"/>
        </w:rPr>
        <w:t xml:space="preserve"> pour suivre les paiements initiés et payés.</w:t>
      </w:r>
    </w:p>
    <w:p>
      <w:pPr>
        <w:pStyle w:val="ListNumber"/>
      </w:pPr>
      <w:r>
        <w:rPr>
          <w:rFonts w:ascii="Calibri" w:hAnsi="Calibri" w:eastAsia="Calibri"/>
        </w:rPr>
        <w:t xml:space="preserve">Ouvrir </w:t>
      </w:r>
      <w:r>
        <w:rPr>
          <w:rFonts w:ascii="Calibri" w:hAnsi="Calibri" w:eastAsia="Calibri"/>
          <w:b/>
        </w:rPr>
        <w:t>État fournisseurs</w:t>
      </w:r>
      <w:r>
        <w:rPr>
          <w:rFonts w:ascii="Calibri" w:hAnsi="Calibri" w:eastAsia="Calibri"/>
        </w:rPr>
        <w:t xml:space="preserve"> pour analyser les bénéficiaires.</w:t>
      </w:r>
    </w:p>
    <w:p>
      <w:pPr>
        <w:pStyle w:val="ListNumber"/>
      </w:pPr>
      <w:r>
        <w:rPr>
          <w:rFonts w:ascii="Calibri" w:hAnsi="Calibri" w:eastAsia="Calibri"/>
        </w:rPr>
        <w:t xml:space="preserve">Ouvrir </w:t>
      </w:r>
      <w:r>
        <w:rPr>
          <w:rFonts w:ascii="Calibri" w:hAnsi="Calibri" w:eastAsia="Calibri"/>
          <w:b/>
        </w:rPr>
        <w:t>État projets &amp; sites</w:t>
      </w:r>
      <w:r>
        <w:rPr>
          <w:rFonts w:ascii="Calibri" w:hAnsi="Calibri" w:eastAsia="Calibri"/>
        </w:rPr>
        <w:t xml:space="preserve"> pour suivre la répartition opérationnelle.</w:t>
      </w:r>
    </w:p>
    <w:p>
      <w:r>
        <w:rPr>
          <w:rFonts w:ascii="Calibri" w:hAnsi="Calibri" w:eastAsia="Calibri"/>
        </w:rPr>
        <w:t>Les états reposent sur la qualité des données saisies dans Liquidations et Paiements. Les champs Site, Fournisseur, Devise et Montant doivent être renseignés avec attention.</w:t>
      </w:r>
    </w:p>
    <w:p>
      <w:pPr>
        <w:pStyle w:val="Heading2"/>
        <w:keepNext/>
      </w:pPr>
      <w:r>
        <w:t>34. Bonnes pratiques d'utilisation</w:t>
      </w:r>
    </w:p>
    <w:p>
      <w:pPr>
        <w:pStyle w:val="ListBullet"/>
      </w:pPr>
      <w:r>
        <w:rPr>
          <w:rFonts w:ascii="Calibri" w:hAnsi="Calibri" w:eastAsia="Calibri"/>
        </w:rPr>
        <w:t>Toujours vérifier qu'un document SoftDocs est bien validé et bon à payer avant de le transformer en liquidation.</w:t>
      </w:r>
    </w:p>
    <w:p>
      <w:pPr>
        <w:pStyle w:val="ListBullet"/>
      </w:pPr>
      <w:r>
        <w:rPr>
          <w:rFonts w:ascii="Calibri" w:hAnsi="Calibri" w:eastAsia="Calibri"/>
        </w:rPr>
        <w:t>Renseigner le site, le fournisseur, la facture, la devise et les montants avec précision.</w:t>
      </w:r>
    </w:p>
    <w:p>
      <w:pPr>
        <w:pStyle w:val="ListBullet"/>
      </w:pPr>
      <w:r>
        <w:rPr>
          <w:rFonts w:ascii="Calibri" w:hAnsi="Calibri" w:eastAsia="Calibri"/>
        </w:rPr>
        <w:t>Ajouter les pièces justificatives avant clôture de la liquidation.</w:t>
      </w:r>
    </w:p>
    <w:p>
      <w:pPr>
        <w:pStyle w:val="ListBullet"/>
      </w:pPr>
      <w:r>
        <w:rPr>
          <w:rFonts w:ascii="Calibri" w:hAnsi="Calibri" w:eastAsia="Calibri"/>
        </w:rPr>
        <w:t>Ne clôturer une liquidation que lorsqu'elle est prête à être récupérée dans les paiements.</w:t>
      </w:r>
    </w:p>
    <w:p>
      <w:pPr>
        <w:pStyle w:val="ListBullet"/>
      </w:pPr>
      <w:r>
        <w:rPr>
          <w:rFonts w:ascii="Calibri" w:hAnsi="Calibri" w:eastAsia="Calibri"/>
        </w:rPr>
        <w:t xml:space="preserve">Vérifier le statut avant de cliquer sur </w:t>
      </w:r>
      <w:r>
        <w:rPr>
          <w:rFonts w:ascii="Calibri" w:hAnsi="Calibri" w:eastAsia="Calibri"/>
          <w:b/>
        </w:rPr>
        <w:t>Payer</w:t>
      </w:r>
      <w:r>
        <w:rPr>
          <w:rFonts w:ascii="Calibri" w:hAnsi="Calibri" w:eastAsia="Calibri"/>
        </w:rPr>
        <w:t>.</w:t>
      </w:r>
    </w:p>
    <w:p>
      <w:pPr>
        <w:pStyle w:val="ListBullet"/>
      </w:pPr>
      <w:r>
        <w:rPr>
          <w:rFonts w:ascii="Calibri" w:hAnsi="Calibri" w:eastAsia="Calibri"/>
        </w:rPr>
        <w:t xml:space="preserve">Utiliser </w:t>
      </w:r>
      <w:r>
        <w:rPr>
          <w:rFonts w:ascii="Calibri" w:hAnsi="Calibri" w:eastAsia="Calibri"/>
          <w:b/>
        </w:rPr>
        <w:t>Vanilla Pay</w:t>
      </w:r>
      <w:r>
        <w:rPr>
          <w:rFonts w:ascii="Calibri" w:hAnsi="Calibri" w:eastAsia="Calibri"/>
        </w:rPr>
        <w:t xml:space="preserve"> pour poursuivre le parcours de paiement mobile dans la maquette.</w:t>
      </w:r>
    </w:p>
    <w:p>
      <w:pPr>
        <w:pStyle w:val="ListBullet"/>
      </w:pPr>
      <w:r>
        <w:rPr>
          <w:rFonts w:ascii="Calibri" w:hAnsi="Calibri" w:eastAsia="Calibri"/>
        </w:rPr>
        <w:t>Contrôler les natures de remise et le mappage bancaire avant toute génération XML.</w:t>
      </w:r>
    </w:p>
    <w:p>
      <w:pPr>
        <w:pStyle w:val="ListBullet"/>
      </w:pPr>
      <w:r>
        <w:rPr>
          <w:rFonts w:ascii="Calibri" w:hAnsi="Calibri" w:eastAsia="Calibri"/>
        </w:rPr>
        <w:t>Limiter les droits utilisateurs aux besoins réels de chaque rôle.</w:t>
      </w:r>
    </w:p>
    <w:p>
      <w:pPr>
        <w:pStyle w:val="ListBullet"/>
      </w:pPr>
      <w:r>
        <w:rPr>
          <w:rFonts w:ascii="Calibri" w:hAnsi="Calibri" w:eastAsia="Calibri"/>
        </w:rPr>
        <w:t>Utiliser les rapports pour détecter les liquidations en attente, les paiements non finalisés et les sites à fort volume.</w:t>
      </w:r>
    </w:p>
    <w:p>
      <w:pPr>
        <w:pStyle w:val="Heading2"/>
        <w:keepNext/>
      </w:pPr>
      <w:r>
        <w:t>35. Glossaire fonctionnel</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Terme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Définition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Liquidation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Dossier financier préparant le paiement d'une dépense ou facture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Bon à payer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Statut indiquant qu'un document est validé pour paiement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Imputation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Ligne comptable ou analytique qui ventile le montant d'une liquidation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Pièce justificative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 joint permettant de prouver ou contrôler une liquidation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TOMPRO</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Outil comptable avec lequel les liquidations peuvent être synchronisées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Nature de remise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Code indiquant le type de remise ou d'ordre bancaire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Schéma XML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Format de fichier bancaire attendu par une banque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Balise XML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Information structurée incluse dans le fichier bancaire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Mappage bancaire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Association entre une banque, un schéma XML, une devise et un compte débiteur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Paiement initié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Paiement lancé depuis SoftPaiement mais pas nécessairement finalisé comptablement</w:t>
            </w:r>
          </w:p>
        </w:tc>
      </w:tr>
    </w:tbl>
    <w:p>
      <w:pPr>
        <w:spacing w:after="40"/>
      </w:pPr>
    </w:p>
    <w:sectPr w:rsidR="00FC693F" w:rsidRPr="0006063C" w:rsidSect="00034616">
      <w:footerReference w:type="default" r:id="rId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748B"/>
        <w:sz w:val="17"/>
      </w:rPr>
      <w:t>SoftPaiement - Manuel utilisateur - 13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36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440"/>
    </w:pPr>
    <w:rPr>
      <w:rFonts w:asciiTheme="majorHAnsi" w:eastAsiaTheme="majorEastAsia" w:hAnsiTheme="majorHAnsi" w:cstheme="majorBidi" w:ascii="Calibri" w:hAnsi="Calibri" w:eastAsia="Calibri"/>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SoftPaiement</dc:title>
  <dc:subject>Liquidations, paiements mobiles, génération XML bancaire, TOMPRO, rapports et droits utilisateurs</dc:subject>
  <dc:creator>SoftWell / Documentation utilisateur</dc:creator>
  <cp:keywords/>
  <dc:description>generated by python-docx</dc:description>
  <cp:lastModifiedBy/>
  <cp:revision>1</cp:revision>
  <dcterms:created xsi:type="dcterms:W3CDTF">2013-12-23T23:15:00Z</dcterms:created>
  <dcterms:modified xsi:type="dcterms:W3CDTF">2013-12-23T23:15:00Z</dcterms:modified>
  <cp:category/>
</cp:coreProperties>
</file>