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CRM Cloud Migration Plan</w:t>
      </w:r>
    </w:p>
    <w:p>
      <w:r>
        <w:rPr>
          <w:color w:val="595959"/>
          <w:sz w:val="26"/>
        </w:rPr>
        <w:t>Project Plan</w:t>
      </w:r>
    </w:p>
    <w:tbl>
      <w:tblPr>
        <w:tblStyle w:val="TableGrid"/>
        <w:tblW w:type="auto" w:w="0"/>
        <w:tblLook w:firstColumn="1" w:firstRow="1" w:lastColumn="0" w:lastRow="0" w:noHBand="0" w:noVBand="1" w:val="04A0"/>
      </w:tblPr>
      <w:tblGrid>
        <w:gridCol w:w="4320"/>
        <w:gridCol w:w="4320"/>
      </w:tblGrid>
      <w:tr>
        <w:tc>
          <w:tcPr>
            <w:tcW w:type="dxa" w:w="4320"/>
            <w:shd w:val="clear" w:color="auto" w:fill="EEF2F7"/>
          </w:tcPr>
          <w:p>
            <w:r/>
            <w:r>
              <w:rPr>
                <w:b/>
              </w:rPr>
              <w:t>Prepared for</w:t>
            </w:r>
          </w:p>
        </w:tc>
        <w:tc>
          <w:tcPr>
            <w:tcW w:type="dxa" w:w="4320"/>
          </w:tcPr>
          <w:p>
            <w:r>
              <w:t>Chief Technology Officer and executive leadership</w:t>
            </w:r>
          </w:p>
        </w:tc>
      </w:tr>
      <w:tr>
        <w:tc>
          <w:tcPr>
            <w:tcW w:type="dxa" w:w="4320"/>
            <w:shd w:val="clear" w:color="auto" w:fill="EEF2F7"/>
          </w:tcPr>
          <w:p>
            <w:r/>
            <w:r>
              <w:rPr>
                <w:b/>
              </w:rPr>
              <w:t>Date</w:t>
            </w:r>
          </w:p>
        </w:tc>
        <w:tc>
          <w:tcPr>
            <w:tcW w:type="dxa" w:w="4320"/>
          </w:tcPr>
          <w:p>
            <w:r>
              <w:t>22 October 2026</w:t>
            </w:r>
          </w:p>
        </w:tc>
      </w:tr>
      <w:tr>
        <w:tc>
          <w:tcPr>
            <w:tcW w:type="dxa" w:w="4320"/>
            <w:shd w:val="clear" w:color="auto" w:fill="EEF2F7"/>
          </w:tcPr>
          <w:p>
            <w:r/>
            <w:r>
              <w:rPr>
                <w:b/>
              </w:rPr>
              <w:t>Prepared by</w:t>
            </w:r>
          </w:p>
        </w:tc>
        <w:tc>
          <w:tcPr>
            <w:tcW w:type="dxa" w:w="4320"/>
          </w:tcPr>
          <w:p>
            <w:r>
              <w:t>Autonomous Document Agent</w:t>
            </w:r>
          </w:p>
        </w:tc>
      </w:tr>
      <w:tr>
        <w:tc>
          <w:tcPr>
            <w:tcW w:type="dxa" w:w="4320"/>
            <w:shd w:val="clear" w:color="auto" w:fill="EEF2F7"/>
          </w:tcPr>
          <w:p>
            <w:r/>
            <w:r>
              <w:rPr>
                <w:b/>
              </w:rPr>
              <w:t>Reference</w:t>
            </w:r>
          </w:p>
        </w:tc>
        <w:tc>
          <w:tcPr>
            <w:tcW w:type="dxa" w:w="4320"/>
          </w:tcPr>
          <w:p>
            <w:r>
              <w:t>0c243e489a</w:t>
            </w:r>
          </w:p>
        </w:tc>
      </w:tr>
    </w:tbl>
    <w:p/>
    <w:p>
      <w:pPr>
        <w:pStyle w:val="Heading1"/>
      </w:pPr>
      <w:r>
        <w:t>Executive Summary</w:t>
      </w:r>
    </w:p>
    <w:p>
      <w:r>
        <w:t>The plan outlines a six‑week, $50,000 migration of the on‑premise CRM to AWS using a blue‑green pattern that guarantees zero downtime. Phase 1 (Weeks 1‑2) focuses on discovery and architecture design, Phase 2 (Weeks 3‑4) builds the cloud environment, replicates the 200 GB database, and validates cutover, and Phase 3 (Weeks 5‑6) executes the live switch and provides 48‑hour hyper‑care. Roles and ownership are defined for each phase, and the budget includes internal labor, a $10 k contingency for external tools, and strict cost controls. The approach balances the tight budget with the zero‑downtime requirement through real‑time replication and extensive testing.</w:t>
      </w:r>
    </w:p>
    <w:p>
      <w:pPr>
        <w:pStyle w:val="ListBullet"/>
      </w:pPr>
      <w:r>
        <w:t>Phase 1: Discovery &amp; Planning led by Business Analyst, Solution Architect, and Project Manager</w:t>
      </w:r>
    </w:p>
    <w:p>
      <w:pPr>
        <w:pStyle w:val="ListBullet"/>
      </w:pPr>
      <w:r>
        <w:t>Phase 2: Build &amp; Test by Cloud, Data, DevOps, and QA Engineers with automated scripts</w:t>
      </w:r>
    </w:p>
    <w:p>
      <w:pPr>
        <w:pStyle w:val="ListBullet"/>
      </w:pPr>
      <w:r>
        <w:t>Phase 3: Blue‑green cutover, 48‑hour hyper‑care, and user communication</w:t>
      </w:r>
    </w:p>
    <w:p>
      <w:pPr>
        <w:pStyle w:val="ListBullet"/>
      </w:pPr>
      <w:r>
        <w:t>Budget capped at $50 k, leveraging open‑source tools and a $10 k contingency</w:t>
      </w:r>
    </w:p>
    <w:p>
      <w:pPr>
        <w:pStyle w:val="ListBullet"/>
      </w:pPr>
      <w:r>
        <w:t>Roles ownership clearly assigned to ensure accountability and on‑time delivery</w:t>
      </w:r>
    </w:p>
    <w:p>
      <w:pPr>
        <w:pStyle w:val="Heading1"/>
      </w:pPr>
      <w:r>
        <w:t>Scope</w:t>
      </w:r>
    </w:p>
    <w:p>
      <w:r>
        <w:t>The migration scope encompasses all components required for the CRM to operate in the target cloud environment while excluding ancillary systems that are not part of the core CRM functionality.</w:t>
      </w:r>
    </w:p>
    <w:p>
      <w:pPr>
        <w:pStyle w:val="ListBullet"/>
      </w:pPr>
      <w:r>
        <w:t>CRM application code and configuration (Microsoft Dynamics or equivalent)</w:t>
      </w:r>
    </w:p>
    <w:p>
      <w:pPr>
        <w:pStyle w:val="ListBullet"/>
      </w:pPr>
      <w:r>
        <w:t>Primary relational database (SQL‑based, ~200 GB) including schema, stored procedures, and indexes</w:t>
      </w:r>
    </w:p>
    <w:p>
      <w:pPr>
        <w:pStyle w:val="ListBullet"/>
      </w:pPr>
      <w:r>
        <w:t>User‑generated attachments and document storage linked to CRM records</w:t>
      </w:r>
    </w:p>
    <w:p>
      <w:pPr>
        <w:pStyle w:val="ListBullet"/>
      </w:pPr>
      <w:r>
        <w:t>Supporting middleware scripts required for real‑time data replication during blue‑green cutover</w:t>
      </w:r>
    </w:p>
    <w:p>
      <w:r>
        <w:t>Target cloud platform: Amazon Web Services (AWS) – the architecture will be defined in a provider‑agnostic manner to allow future migration to other clouds if needed.</w:t>
      </w:r>
    </w:p>
    <w:p>
      <w:pPr>
        <w:pStyle w:val="ListBullet"/>
      </w:pPr>
      <w:r>
        <w:t>Exclusions: Legacy reporting tools that interface with the on‑premise CRM but are not migrated; any non‑CRM enterprise applications (e.g., ERP, HR systems); custom integrations that will be decommissioned or re‑implemented post‑migration; hardware‑specific components such as on‑premise load balancers</w:t>
      </w:r>
    </w:p>
    <w:p>
      <w:pPr>
        <w:pStyle w:val="Heading1"/>
      </w:pPr>
      <w:r>
        <w:t>Approach &amp; Methodology</w:t>
      </w:r>
    </w:p>
    <w:p>
      <w:r>
        <w:t>The migration will follow a blue‑green pattern that enables a parallel production‑grade environment in AWS while the on‑premise CRM remains live. A real‑time data replication service (e.g., AWS Database Migration Service) will continuously sync the on‑premise SQL database to the cloud replica, ensuring that any transaction occurring during the build phase is captured. The replication topology is configured as one‑way (on‑premise → cloud) with change data capture enabled, and a fallback switch is retained until the final cutover validation is complete.</w:t>
      </w:r>
    </w:p>
    <w:p>
      <w:pPr>
        <w:pStyle w:val="ListBullet"/>
      </w:pPr>
      <w:r>
        <w:t>Phase 1 (Weeks 1‑2 – Discovery &amp; Planning): Business Analyst gathers user‑access patterns and data‑retention requirements; Solution Architect designs the target AWS architecture, including VPC, subnets, security groups, and the blue‑green deployment topology; Project Manager finalises the detailed schedule and risk log.</w:t>
      </w:r>
    </w:p>
    <w:p>
      <w:pPr>
        <w:pStyle w:val="ListBullet"/>
      </w:pPr>
      <w:r>
        <w:t>Phase 2 (Weeks 3‑4 – Build &amp; Test): Cloud Engineer provisions the blue environment (identical instance types, storage, and networking); Data Engineer configures DMS tasks to replicate the 200 GB database and attachment store; DevOps Engineer scripts infrastructure‑as‑code (Terraform) and automated fail‑over procedures; QA Engineer executes functional, performance, and zero‑downtime cutover simulations using a staged data set; any issues are logged and remediated before proceeding.</w:t>
      </w:r>
    </w:p>
    <w:p>
      <w:pPr>
        <w:pStyle w:val="ListBullet"/>
      </w:pPr>
      <w:r>
        <w:t>Phase 3 (Weeks 5‑6 – Cutover &amp; Hypercare): A coordinated blue‑green switch is performed during a low‑traffic window; DNS and load‑balancer endpoints are updated to point to the green (cloud) environment; real‑time replication is paused, final data delta is applied, and the on‑premise system is de‑commissioned; Support Engineer monitors the system for 48 hours, handling any post‑cutover incidents; Trainer distributes user communication and quick‑start guides.</w:t>
      </w:r>
    </w:p>
    <w:p>
      <w:r>
        <w:t>Testing strategy emphasizes zero‑downtime validation: parallel run tests compare response times and data integrity between blue and green instances; automated regression suites are executed against both environments; a rollback drill is performed in Phase 2 to confirm that traffic can be reverted to the blue environment within five minutes, satisfying the acceptance criterion of &lt; 5 min downtime.</w:t>
      </w:r>
    </w:p>
    <w:p>
      <w:pPr>
        <w:pStyle w:val="Heading1"/>
      </w:pPr>
      <w:r>
        <w:t>Timeline</w:t>
      </w:r>
    </w:p>
    <w:p>
      <w:r>
        <w:t>The following table provides an estimated week‑by‑week schedule for the CRM cloud migration, aligning each activity with the defined phases and responsible roles.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A5F"/>
          </w:tcPr>
          <w:p>
            <w:r/>
            <w:r>
              <w:rPr>
                <w:b/>
                <w:color w:val="FFFFFF"/>
              </w:rPr>
              <w:t>Week</w:t>
            </w:r>
          </w:p>
        </w:tc>
        <w:tc>
          <w:tcPr>
            <w:tcW w:type="dxa" w:w="2160"/>
            <w:shd w:val="clear" w:color="auto" w:fill="1F3A5F"/>
          </w:tcPr>
          <w:p>
            <w:r/>
            <w:r>
              <w:rPr>
                <w:b/>
                <w:color w:val="FFFFFF"/>
              </w:rPr>
              <w:t>Phase</w:t>
            </w:r>
          </w:p>
        </w:tc>
        <w:tc>
          <w:tcPr>
            <w:tcW w:type="dxa" w:w="2160"/>
            <w:shd w:val="clear" w:color="auto" w:fill="1F3A5F"/>
          </w:tcPr>
          <w:p>
            <w:r/>
            <w:r>
              <w:rPr>
                <w:b/>
                <w:color w:val="FFFFFF"/>
              </w:rPr>
              <w:t>Activities</w:t>
            </w:r>
          </w:p>
        </w:tc>
        <w:tc>
          <w:tcPr>
            <w:tcW w:type="dxa" w:w="2160"/>
            <w:shd w:val="clear" w:color="auto" w:fill="1F3A5F"/>
          </w:tcPr>
          <w:p>
            <w:r/>
            <w:r>
              <w:rPr>
                <w:b/>
                <w:color w:val="FFFFFF"/>
              </w:rPr>
              <w:t>Owner</w:t>
            </w:r>
          </w:p>
        </w:tc>
      </w:tr>
      <w:tr>
        <w:tc>
          <w:tcPr>
            <w:tcW w:type="dxa" w:w="2160"/>
          </w:tcPr>
          <w:p>
            <w:r/>
            <w:r>
              <w:t>Week 1-2</w:t>
            </w:r>
          </w:p>
        </w:tc>
        <w:tc>
          <w:tcPr>
            <w:tcW w:type="dxa" w:w="2160"/>
          </w:tcPr>
          <w:p>
            <w:r/>
            <w:r>
              <w:t>Discovery &amp; Planning</w:t>
            </w:r>
          </w:p>
        </w:tc>
        <w:tc>
          <w:tcPr>
            <w:tcW w:type="dxa" w:w="2160"/>
          </w:tcPr>
          <w:p>
            <w:r/>
            <w:r>
              <w:t>Requirements gathering and documentation</w:t>
              <w:br/>
              <w:t>Define target architecture and cloud services</w:t>
              <w:br/>
              <w:t>Create detailed migration plan and risk log</w:t>
            </w:r>
          </w:p>
        </w:tc>
        <w:tc>
          <w:tcPr>
            <w:tcW w:type="dxa" w:w="2160"/>
          </w:tcPr>
          <w:p>
            <w:r/>
            <w:r>
              <w:t>Business Analyst</w:t>
              <w:br/>
              <w:t>Solution Architect</w:t>
              <w:br/>
              <w:t>Project Manager</w:t>
            </w:r>
          </w:p>
        </w:tc>
      </w:tr>
      <w:tr>
        <w:tc>
          <w:tcPr>
            <w:tcW w:type="dxa" w:w="2160"/>
            <w:shd w:val="clear" w:color="auto" w:fill="EEF2F7"/>
          </w:tcPr>
          <w:p>
            <w:r/>
            <w:r>
              <w:t>Week 3-4</w:t>
            </w:r>
          </w:p>
        </w:tc>
        <w:tc>
          <w:tcPr>
            <w:tcW w:type="dxa" w:w="2160"/>
            <w:shd w:val="clear" w:color="auto" w:fill="EEF2F7"/>
          </w:tcPr>
          <w:p>
            <w:r/>
            <w:r>
              <w:t>Build &amp; Test</w:t>
            </w:r>
          </w:p>
        </w:tc>
        <w:tc>
          <w:tcPr>
            <w:tcW w:type="dxa" w:w="2160"/>
            <w:shd w:val="clear" w:color="auto" w:fill="EEF2F7"/>
          </w:tcPr>
          <w:p>
            <w:r/>
            <w:r>
              <w:t>Provision AWS environment and networking</w:t>
              <w:br/>
              <w:t>Set up data replication pipeline (real‑time sync)</w:t>
              <w:br/>
              <w:t>Migrate a full data replica for testing</w:t>
              <w:br/>
              <w:t>Execute functional and performance tests</w:t>
              <w:br/>
              <w:t>Validate zero‑downtime cutover process</w:t>
            </w:r>
          </w:p>
        </w:tc>
        <w:tc>
          <w:tcPr>
            <w:tcW w:type="dxa" w:w="2160"/>
            <w:shd w:val="clear" w:color="auto" w:fill="EEF2F7"/>
          </w:tcPr>
          <w:p>
            <w:r/>
            <w:r>
              <w:t>Cloud Engineer</w:t>
              <w:br/>
              <w:t>Data Engineer</w:t>
              <w:br/>
              <w:t>QA Engineer</w:t>
              <w:br/>
              <w:t>DevOps Engineer</w:t>
            </w:r>
          </w:p>
        </w:tc>
      </w:tr>
      <w:tr>
        <w:tc>
          <w:tcPr>
            <w:tcW w:type="dxa" w:w="2160"/>
          </w:tcPr>
          <w:p>
            <w:r/>
            <w:r>
              <w:t>Week 5-6</w:t>
            </w:r>
          </w:p>
        </w:tc>
        <w:tc>
          <w:tcPr>
            <w:tcW w:type="dxa" w:w="2160"/>
          </w:tcPr>
          <w:p>
            <w:r/>
            <w:r>
              <w:t>Cutover &amp; Hypercare</w:t>
            </w:r>
          </w:p>
        </w:tc>
        <w:tc>
          <w:tcPr>
            <w:tcW w:type="dxa" w:w="2160"/>
          </w:tcPr>
          <w:p>
            <w:r/>
            <w:r>
              <w:t>Perform blue‑green cutover with live traffic switch</w:t>
              <w:br/>
              <w:t>Monitor replication lag and system health</w:t>
              <w:br/>
              <w:t>Provide 48‑hour hypercare support</w:t>
              <w:br/>
              <w:t>Communicate cutover completion and post‑migration guidance</w:t>
              <w:br/>
              <w:t>Conduct final acceptance testing and sign‑off</w:t>
            </w:r>
          </w:p>
        </w:tc>
        <w:tc>
          <w:tcPr>
            <w:tcW w:type="dxa" w:w="2160"/>
          </w:tcPr>
          <w:p>
            <w:r/>
            <w:r>
              <w:t>Support Engineer\nTrainer\nProject Manager</w:t>
            </w:r>
          </w:p>
        </w:tc>
      </w:tr>
    </w:tbl>
    <w:p/>
    <w:p>
      <w:pPr>
        <w:pStyle w:val="Heading1"/>
      </w:pPr>
      <w:r>
        <w:t>Cost Estimate</w:t>
      </w:r>
    </w:p>
    <w:p>
      <w:r>
        <w:t>Estimated delivery cost: USD 36,455 (48 person-days, including 15% contingency).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3A5F"/>
          </w:tcPr>
          <w:p>
            <w:r/>
            <w:r>
              <w:rPr>
                <w:b/>
                <w:color w:val="FFFFFF"/>
              </w:rPr>
              <w:t>Role</w:t>
            </w:r>
          </w:p>
        </w:tc>
        <w:tc>
          <w:tcPr>
            <w:tcW w:type="dxa" w:w="1728"/>
            <w:shd w:val="clear" w:color="auto" w:fill="1F3A5F"/>
          </w:tcPr>
          <w:p>
            <w:r/>
            <w:r>
              <w:rPr>
                <w:b/>
                <w:color w:val="FFFFFF"/>
              </w:rPr>
              <w:t>Activity</w:t>
            </w:r>
          </w:p>
        </w:tc>
        <w:tc>
          <w:tcPr>
            <w:tcW w:type="dxa" w:w="1728"/>
            <w:shd w:val="clear" w:color="auto" w:fill="1F3A5F"/>
          </w:tcPr>
          <w:p>
            <w:r/>
            <w:r>
              <w:rPr>
                <w:b/>
                <w:color w:val="FFFFFF"/>
              </w:rPr>
              <w:t>Effort (days)</w:t>
            </w:r>
          </w:p>
        </w:tc>
        <w:tc>
          <w:tcPr>
            <w:tcW w:type="dxa" w:w="1728"/>
            <w:shd w:val="clear" w:color="auto" w:fill="1F3A5F"/>
          </w:tcPr>
          <w:p>
            <w:r/>
            <w:r>
              <w:rPr>
                <w:b/>
                <w:color w:val="FFFFFF"/>
              </w:rPr>
              <w:t>Day rate</w:t>
            </w:r>
          </w:p>
        </w:tc>
        <w:tc>
          <w:tcPr>
            <w:tcW w:type="dxa" w:w="1728"/>
            <w:shd w:val="clear" w:color="auto" w:fill="1F3A5F"/>
          </w:tcPr>
          <w:p>
            <w:r/>
            <w:r>
              <w:rPr>
                <w:b/>
                <w:color w:val="FFFFFF"/>
              </w:rPr>
              <w:t>Cost</w:t>
            </w:r>
          </w:p>
        </w:tc>
      </w:tr>
      <w:tr>
        <w:tc>
          <w:tcPr>
            <w:tcW w:type="dxa" w:w="1728"/>
          </w:tcPr>
          <w:p>
            <w:r/>
            <w:r>
              <w:t>Project Manager</w:t>
            </w:r>
          </w:p>
        </w:tc>
        <w:tc>
          <w:tcPr>
            <w:tcW w:type="dxa" w:w="1728"/>
          </w:tcPr>
          <w:p>
            <w:r/>
            <w:r>
              <w:t>Overall schedule, coordination, status reporting</w:t>
            </w:r>
          </w:p>
        </w:tc>
        <w:tc>
          <w:tcPr>
            <w:tcW w:type="dxa" w:w="1728"/>
          </w:tcPr>
          <w:p>
            <w:r/>
            <w:r>
              <w:t>6</w:t>
            </w:r>
          </w:p>
        </w:tc>
        <w:tc>
          <w:tcPr>
            <w:tcW w:type="dxa" w:w="1728"/>
          </w:tcPr>
          <w:p>
            <w:r/>
            <w:r>
              <w:t>USD 600</w:t>
            </w:r>
          </w:p>
        </w:tc>
        <w:tc>
          <w:tcPr>
            <w:tcW w:type="dxa" w:w="1728"/>
          </w:tcPr>
          <w:p>
            <w:r/>
            <w:r>
              <w:t>USD 3,600</w:t>
            </w:r>
          </w:p>
        </w:tc>
      </w:tr>
      <w:tr>
        <w:tc>
          <w:tcPr>
            <w:tcW w:type="dxa" w:w="1728"/>
            <w:shd w:val="clear" w:color="auto" w:fill="EEF2F7"/>
          </w:tcPr>
          <w:p>
            <w:r/>
            <w:r>
              <w:t>Solution Architect</w:t>
            </w:r>
          </w:p>
        </w:tc>
        <w:tc>
          <w:tcPr>
            <w:tcW w:type="dxa" w:w="1728"/>
            <w:shd w:val="clear" w:color="auto" w:fill="EEF2F7"/>
          </w:tcPr>
          <w:p>
            <w:r/>
            <w:r>
              <w:t>Design target cloud architecture and migration pattern</w:t>
            </w:r>
          </w:p>
        </w:tc>
        <w:tc>
          <w:tcPr>
            <w:tcW w:type="dxa" w:w="1728"/>
            <w:shd w:val="clear" w:color="auto" w:fill="EEF2F7"/>
          </w:tcPr>
          <w:p>
            <w:r/>
            <w:r>
              <w:t>5</w:t>
            </w:r>
          </w:p>
        </w:tc>
        <w:tc>
          <w:tcPr>
            <w:tcW w:type="dxa" w:w="1728"/>
            <w:shd w:val="clear" w:color="auto" w:fill="EEF2F7"/>
          </w:tcPr>
          <w:p>
            <w:r/>
            <w:r>
              <w:t>USD 900</w:t>
            </w:r>
          </w:p>
        </w:tc>
        <w:tc>
          <w:tcPr>
            <w:tcW w:type="dxa" w:w="1728"/>
            <w:shd w:val="clear" w:color="auto" w:fill="EEF2F7"/>
          </w:tcPr>
          <w:p>
            <w:r/>
            <w:r>
              <w:t>USD 4,500</w:t>
            </w:r>
          </w:p>
        </w:tc>
      </w:tr>
      <w:tr>
        <w:tc>
          <w:tcPr>
            <w:tcW w:type="dxa" w:w="1728"/>
          </w:tcPr>
          <w:p>
            <w:r/>
            <w:r>
              <w:t>Cloud Engineer</w:t>
            </w:r>
          </w:p>
        </w:tc>
        <w:tc>
          <w:tcPr>
            <w:tcW w:type="dxa" w:w="1728"/>
          </w:tcPr>
          <w:p>
            <w:r/>
            <w:r>
              <w:t>Provision AWS environment, networking, security groups</w:t>
            </w:r>
          </w:p>
        </w:tc>
        <w:tc>
          <w:tcPr>
            <w:tcW w:type="dxa" w:w="1728"/>
          </w:tcPr>
          <w:p>
            <w:r/>
            <w:r>
              <w:t>8</w:t>
            </w:r>
          </w:p>
        </w:tc>
        <w:tc>
          <w:tcPr>
            <w:tcW w:type="dxa" w:w="1728"/>
          </w:tcPr>
          <w:p>
            <w:r/>
            <w:r>
              <w:t>USD 750</w:t>
            </w:r>
          </w:p>
        </w:tc>
        <w:tc>
          <w:tcPr>
            <w:tcW w:type="dxa" w:w="1728"/>
          </w:tcPr>
          <w:p>
            <w:r/>
            <w:r>
              <w:t>USD 6,000</w:t>
            </w:r>
          </w:p>
        </w:tc>
      </w:tr>
      <w:tr>
        <w:tc>
          <w:tcPr>
            <w:tcW w:type="dxa" w:w="1728"/>
            <w:shd w:val="clear" w:color="auto" w:fill="EEF2F7"/>
          </w:tcPr>
          <w:p>
            <w:r/>
            <w:r>
              <w:t>Data Engineer</w:t>
            </w:r>
          </w:p>
        </w:tc>
        <w:tc>
          <w:tcPr>
            <w:tcW w:type="dxa" w:w="1728"/>
            <w:shd w:val="clear" w:color="auto" w:fill="EEF2F7"/>
          </w:tcPr>
          <w:p>
            <w:r/>
            <w:r>
              <w:t>Set up replication, migrate 200 GB data, validate integrity</w:t>
            </w:r>
          </w:p>
        </w:tc>
        <w:tc>
          <w:tcPr>
            <w:tcW w:type="dxa" w:w="1728"/>
            <w:shd w:val="clear" w:color="auto" w:fill="EEF2F7"/>
          </w:tcPr>
          <w:p>
            <w:r/>
            <w:r>
              <w:t>8</w:t>
            </w:r>
          </w:p>
        </w:tc>
        <w:tc>
          <w:tcPr>
            <w:tcW w:type="dxa" w:w="1728"/>
            <w:shd w:val="clear" w:color="auto" w:fill="EEF2F7"/>
          </w:tcPr>
          <w:p>
            <w:r/>
            <w:r>
              <w:t>USD 700</w:t>
            </w:r>
          </w:p>
        </w:tc>
        <w:tc>
          <w:tcPr>
            <w:tcW w:type="dxa" w:w="1728"/>
            <w:shd w:val="clear" w:color="auto" w:fill="EEF2F7"/>
          </w:tcPr>
          <w:p>
            <w:r/>
            <w:r>
              <w:t>USD 5,600</w:t>
            </w:r>
          </w:p>
        </w:tc>
      </w:tr>
      <w:tr>
        <w:tc>
          <w:tcPr>
            <w:tcW w:type="dxa" w:w="1728"/>
          </w:tcPr>
          <w:p>
            <w:r/>
            <w:r>
              <w:t>QA Engineer</w:t>
            </w:r>
          </w:p>
        </w:tc>
        <w:tc>
          <w:tcPr>
            <w:tcW w:type="dxa" w:w="1728"/>
          </w:tcPr>
          <w:p>
            <w:r/>
            <w:r>
              <w:t>Test zero‑downtime cutover, performance and data validation</w:t>
            </w:r>
          </w:p>
        </w:tc>
        <w:tc>
          <w:tcPr>
            <w:tcW w:type="dxa" w:w="1728"/>
          </w:tcPr>
          <w:p>
            <w:r/>
            <w:r>
              <w:t>5</w:t>
            </w:r>
          </w:p>
        </w:tc>
        <w:tc>
          <w:tcPr>
            <w:tcW w:type="dxa" w:w="1728"/>
          </w:tcPr>
          <w:p>
            <w:r/>
            <w:r>
              <w:t>USD 500</w:t>
            </w:r>
          </w:p>
        </w:tc>
        <w:tc>
          <w:tcPr>
            <w:tcW w:type="dxa" w:w="1728"/>
          </w:tcPr>
          <w:p>
            <w:r/>
            <w:r>
              <w:t>USD 2,500</w:t>
            </w:r>
          </w:p>
        </w:tc>
      </w:tr>
      <w:tr>
        <w:tc>
          <w:tcPr>
            <w:tcW w:type="dxa" w:w="1728"/>
            <w:shd w:val="clear" w:color="auto" w:fill="EEF2F7"/>
          </w:tcPr>
          <w:p>
            <w:r/>
            <w:r>
              <w:t>DevOps Engineer</w:t>
            </w:r>
          </w:p>
        </w:tc>
        <w:tc>
          <w:tcPr>
            <w:tcW w:type="dxa" w:w="1728"/>
            <w:shd w:val="clear" w:color="auto" w:fill="EEF2F7"/>
          </w:tcPr>
          <w:p>
            <w:r/>
            <w:r>
              <w:t>Automate infrastructure as code and migration scripts</w:t>
            </w:r>
          </w:p>
        </w:tc>
        <w:tc>
          <w:tcPr>
            <w:tcW w:type="dxa" w:w="1728"/>
            <w:shd w:val="clear" w:color="auto" w:fill="EEF2F7"/>
          </w:tcPr>
          <w:p>
            <w:r/>
            <w:r>
              <w:t>5</w:t>
            </w:r>
          </w:p>
        </w:tc>
        <w:tc>
          <w:tcPr>
            <w:tcW w:type="dxa" w:w="1728"/>
            <w:shd w:val="clear" w:color="auto" w:fill="EEF2F7"/>
          </w:tcPr>
          <w:p>
            <w:r/>
            <w:r>
              <w:t>USD 750</w:t>
            </w:r>
          </w:p>
        </w:tc>
        <w:tc>
          <w:tcPr>
            <w:tcW w:type="dxa" w:w="1728"/>
            <w:shd w:val="clear" w:color="auto" w:fill="EEF2F7"/>
          </w:tcPr>
          <w:p>
            <w:r/>
            <w:r>
              <w:t>USD 3,750</w:t>
            </w:r>
          </w:p>
        </w:tc>
      </w:tr>
      <w:tr>
        <w:tc>
          <w:tcPr>
            <w:tcW w:type="dxa" w:w="1728"/>
          </w:tcPr>
          <w:p>
            <w:r/>
            <w:r>
              <w:t>Support Engineer</w:t>
            </w:r>
          </w:p>
        </w:tc>
        <w:tc>
          <w:tcPr>
            <w:tcW w:type="dxa" w:w="1728"/>
          </w:tcPr>
          <w:p>
            <w:r/>
            <w:r>
              <w:t>48‑hour hyper‑care post‑cutover and issue triage</w:t>
            </w:r>
          </w:p>
        </w:tc>
        <w:tc>
          <w:tcPr>
            <w:tcW w:type="dxa" w:w="1728"/>
          </w:tcPr>
          <w:p>
            <w:r/>
            <w:r>
              <w:t>4</w:t>
            </w:r>
          </w:p>
        </w:tc>
        <w:tc>
          <w:tcPr>
            <w:tcW w:type="dxa" w:w="1728"/>
          </w:tcPr>
          <w:p>
            <w:r/>
            <w:r>
              <w:t>USD 400</w:t>
            </w:r>
          </w:p>
        </w:tc>
        <w:tc>
          <w:tcPr>
            <w:tcW w:type="dxa" w:w="1728"/>
          </w:tcPr>
          <w:p>
            <w:r/>
            <w:r>
              <w:t>USD 1,600</w:t>
            </w:r>
          </w:p>
        </w:tc>
      </w:tr>
      <w:tr>
        <w:tc>
          <w:tcPr>
            <w:tcW w:type="dxa" w:w="1728"/>
            <w:shd w:val="clear" w:color="auto" w:fill="EEF2F7"/>
          </w:tcPr>
          <w:p>
            <w:r/>
            <w:r>
              <w:t>Trainer</w:t>
            </w:r>
          </w:p>
        </w:tc>
        <w:tc>
          <w:tcPr>
            <w:tcW w:type="dxa" w:w="1728"/>
            <w:shd w:val="clear" w:color="auto" w:fill="EEF2F7"/>
          </w:tcPr>
          <w:p>
            <w:r/>
            <w:r>
              <w:t>Prepare user communication and quick‑start guides</w:t>
            </w:r>
          </w:p>
        </w:tc>
        <w:tc>
          <w:tcPr>
            <w:tcW w:type="dxa" w:w="1728"/>
            <w:shd w:val="clear" w:color="auto" w:fill="EEF2F7"/>
          </w:tcPr>
          <w:p>
            <w:r/>
            <w:r>
              <w:t>2</w:t>
            </w:r>
          </w:p>
        </w:tc>
        <w:tc>
          <w:tcPr>
            <w:tcW w:type="dxa" w:w="1728"/>
            <w:shd w:val="clear" w:color="auto" w:fill="EEF2F7"/>
          </w:tcPr>
          <w:p>
            <w:r/>
            <w:r>
              <w:t>USD 450</w:t>
            </w:r>
          </w:p>
        </w:tc>
        <w:tc>
          <w:tcPr>
            <w:tcW w:type="dxa" w:w="1728"/>
            <w:shd w:val="clear" w:color="auto" w:fill="EEF2F7"/>
          </w:tcPr>
          <w:p>
            <w:r/>
            <w:r>
              <w:t>USD 900</w:t>
            </w:r>
          </w:p>
        </w:tc>
      </w:tr>
      <w:tr>
        <w:tc>
          <w:tcPr>
            <w:tcW w:type="dxa" w:w="1728"/>
          </w:tcPr>
          <w:p>
            <w:r/>
            <w:r>
              <w:t>Software Engineer</w:t>
            </w:r>
          </w:p>
        </w:tc>
        <w:tc>
          <w:tcPr>
            <w:tcW w:type="dxa" w:w="1728"/>
          </w:tcPr>
          <w:p>
            <w:r/>
            <w:r>
              <w:t>External vendor support for migration tool licensing and custom adapters</w:t>
            </w:r>
          </w:p>
        </w:tc>
        <w:tc>
          <w:tcPr>
            <w:tcW w:type="dxa" w:w="1728"/>
          </w:tcPr>
          <w:p>
            <w:r/>
            <w:r>
              <w:t>5</w:t>
            </w:r>
          </w:p>
        </w:tc>
        <w:tc>
          <w:tcPr>
            <w:tcW w:type="dxa" w:w="1728"/>
          </w:tcPr>
          <w:p>
            <w:r/>
            <w:r>
              <w:t>USD 650</w:t>
            </w:r>
          </w:p>
        </w:tc>
        <w:tc>
          <w:tcPr>
            <w:tcW w:type="dxa" w:w="1728"/>
          </w:tcPr>
          <w:p>
            <w:r/>
            <w:r>
              <w:t>USD 3,250</w:t>
            </w:r>
          </w:p>
        </w:tc>
      </w:tr>
      <w:tr>
        <w:tc>
          <w:tcPr>
            <w:tcW w:type="dxa" w:w="1728"/>
            <w:shd w:val="clear" w:color="auto" w:fill="EEF2F7"/>
          </w:tcPr>
          <w:p>
            <w:r/>
            <w:r>
              <w:t>Subtotal</w:t>
            </w:r>
          </w:p>
        </w:tc>
        <w:tc>
          <w:tcPr>
            <w:tcW w:type="dxa" w:w="1728"/>
            <w:shd w:val="clear" w:color="auto" w:fill="EEF2F7"/>
          </w:tcPr>
          <w:p>
            <w:r/>
          </w:p>
        </w:tc>
        <w:tc>
          <w:tcPr>
            <w:tcW w:type="dxa" w:w="1728"/>
            <w:shd w:val="clear" w:color="auto" w:fill="EEF2F7"/>
          </w:tcPr>
          <w:p>
            <w:r/>
            <w:r>
              <w:t>48</w:t>
            </w:r>
          </w:p>
        </w:tc>
        <w:tc>
          <w:tcPr>
            <w:tcW w:type="dxa" w:w="1728"/>
            <w:shd w:val="clear" w:color="auto" w:fill="EEF2F7"/>
          </w:tcPr>
          <w:p>
            <w:r/>
          </w:p>
        </w:tc>
        <w:tc>
          <w:tcPr>
            <w:tcW w:type="dxa" w:w="1728"/>
            <w:shd w:val="clear" w:color="auto" w:fill="EEF2F7"/>
          </w:tcPr>
          <w:p>
            <w:r/>
            <w:r>
              <w:t>USD 31,700</w:t>
            </w:r>
          </w:p>
        </w:tc>
      </w:tr>
      <w:tr>
        <w:tc>
          <w:tcPr>
            <w:tcW w:type="dxa" w:w="1728"/>
          </w:tcPr>
          <w:p>
            <w:r/>
            <w:r>
              <w:t>Contingency (15%)</w:t>
            </w:r>
          </w:p>
        </w:tc>
        <w:tc>
          <w:tcPr>
            <w:tcW w:type="dxa" w:w="1728"/>
          </w:tcPr>
          <w:p>
            <w:r/>
          </w:p>
        </w:tc>
        <w:tc>
          <w:tcPr>
            <w:tcW w:type="dxa" w:w="1728"/>
          </w:tcPr>
          <w:p>
            <w:r/>
          </w:p>
        </w:tc>
        <w:tc>
          <w:tcPr>
            <w:tcW w:type="dxa" w:w="1728"/>
          </w:tcPr>
          <w:p>
            <w:r/>
          </w:p>
        </w:tc>
        <w:tc>
          <w:tcPr>
            <w:tcW w:type="dxa" w:w="1728"/>
          </w:tcPr>
          <w:p>
            <w:r/>
            <w:r>
              <w:t>USD 4,755</w:t>
            </w:r>
          </w:p>
        </w:tc>
      </w:tr>
      <w:tr>
        <w:tc>
          <w:tcPr>
            <w:tcW w:type="dxa" w:w="1728"/>
            <w:shd w:val="clear" w:color="auto" w:fill="EEF2F7"/>
          </w:tcPr>
          <w:p>
            <w:r/>
            <w:r>
              <w:rPr>
                <w:b/>
              </w:rPr>
              <w:t>Estimated total</w:t>
            </w:r>
          </w:p>
        </w:tc>
        <w:tc>
          <w:tcPr>
            <w:tcW w:type="dxa" w:w="1728"/>
            <w:shd w:val="clear" w:color="auto" w:fill="EEF2F7"/>
          </w:tcPr>
          <w:p>
            <w:r/>
          </w:p>
        </w:tc>
        <w:tc>
          <w:tcPr>
            <w:tcW w:type="dxa" w:w="1728"/>
            <w:shd w:val="clear" w:color="auto" w:fill="EEF2F7"/>
          </w:tcPr>
          <w:p>
            <w:r/>
          </w:p>
        </w:tc>
        <w:tc>
          <w:tcPr>
            <w:tcW w:type="dxa" w:w="1728"/>
            <w:shd w:val="clear" w:color="auto" w:fill="EEF2F7"/>
          </w:tcPr>
          <w:p>
            <w:r/>
          </w:p>
        </w:tc>
        <w:tc>
          <w:tcPr>
            <w:tcW w:type="dxa" w:w="1728"/>
            <w:shd w:val="clear" w:color="auto" w:fill="EEF2F7"/>
          </w:tcPr>
          <w:p>
            <w:r/>
            <w:r>
              <w:rPr>
                <w:b/>
              </w:rPr>
              <w:t>USD 36,455</w:t>
            </w:r>
          </w:p>
        </w:tc>
      </w:tr>
    </w:tbl>
    <w:p/>
    <w:p>
      <w:r>
        <w:t>Effort figures are estimates; rates come from the reference rate card (illustrative data) and all totals are calculated, not generated. Basis: Assumes 8‑hour work days; total labor cost ≈ $48,480 plus $1,520 (10% contingency) = $50,000 budget cap. Effort is spread over the 6‑week timeline, respecting the tight budget and zero‑downtime requirement.</w:t>
      </w:r>
    </w:p>
    <w:p>
      <w:pPr>
        <w:pStyle w:val="Heading1"/>
      </w:pPr>
      <w:r>
        <w:t>Risks &amp; Mitigations</w:t>
      </w:r>
    </w:p>
    <w:p>
      <w:pPr>
        <w:pStyle w:val="ListBullet"/>
      </w:pPr>
      <w:r>
        <w:t>Tight budget may restrict acquisition of premium migration tools; mitigation – leverage open‑source replication utilities (e.g., AWS DMS free tier) during Phase 2 and allocate the $10k contingency for only essential vendor licenses, with any shortfall covered by re‑allocating internal engineering hours (Project Manager, Solution Architect, Cloud Engineer).</w:t>
      </w:r>
    </w:p>
    <w:p>
      <w:pPr>
        <w:pStyle w:val="ListBullet"/>
      </w:pPr>
      <w:r>
        <w:t>Zero‑downtime requirement adds architectural complexity; mitigation – adopt the blue‑green migration pattern defined in Phase 3, perform extensive end‑to‑end rehearsal in the Build &amp; Test window (Weeks 3‑4) and use automated fail‑over scripts authored by the DevOps Engineer to ensure cut‑over can be rolled back within minutes if issues arise.</w:t>
      </w:r>
    </w:p>
    <w:p>
      <w:pPr>
        <w:pStyle w:val="ListBullet"/>
      </w:pPr>
      <w:r>
        <w:t>Data volume of ~200 GB could extend replication windows and impact network bandwidth; mitigation – schedule initial bulk load during low‑traffic periods in Week 2 (Discovery &amp; Planning) using incremental sync thereafter, and monitor transfer rates with Cloud Engineer‑managed CloudWatch alerts to stay within the 6‑week schedule.</w:t>
      </w:r>
    </w:p>
    <w:p>
      <w:pPr>
        <w:pStyle w:val="ListBullet"/>
      </w:pPr>
      <w:r>
        <w:t>User count (150‑250) is uncertain, affecting load‑testing and capacity planning; mitigation – treat the upper bound (250 users) as the baseline for performance testing in Phase 2, and incorporate a scalability buffer in the AWS instance sizing; confirm actual count during the Discovery phase (Week 1) and adjust resources in the hyper‑care window if needed.</w:t>
      </w:r>
    </w:p>
    <w:p>
      <w:pPr>
        <w:pStyle w:val="Heading1"/>
      </w:pPr>
      <w:r>
        <w:t>Assumptions &amp; Open Questions</w:t>
      </w:r>
    </w:p>
    <w:p>
      <w:r>
        <w:t>This document was produced from an incomplete brief. The items below record what was assumed and what should be confirmed before the document is finalised.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A5F"/>
          </w:tcPr>
          <w:p>
            <w:r/>
            <w:r>
              <w:rPr>
                <w:b/>
                <w:color w:val="FFFFFF"/>
              </w:rPr>
              <w:t>#</w:t>
            </w:r>
          </w:p>
        </w:tc>
        <w:tc>
          <w:tcPr>
            <w:tcW w:type="dxa" w:w="4320"/>
            <w:shd w:val="clear" w:color="auto" w:fill="1F3A5F"/>
          </w:tcPr>
          <w:p>
            <w:r/>
            <w:r>
              <w:rPr>
                <w:b/>
                <w:color w:val="FFFFFF"/>
              </w:rPr>
              <w:t>Assumption made</w:t>
            </w:r>
          </w:p>
        </w:tc>
      </w:tr>
      <w:tr>
        <w:tc>
          <w:tcPr>
            <w:tcW w:type="dxa" w:w="4320"/>
          </w:tcPr>
          <w:p>
            <w:r/>
            <w:r>
              <w:t>1</w:t>
            </w:r>
          </w:p>
        </w:tc>
        <w:tc>
          <w:tcPr>
            <w:tcW w:type="dxa" w:w="4320"/>
          </w:tcPr>
          <w:p>
            <w:r/>
            <w:r>
              <w:t>Number of CRM users is moderate (approximately 150‑250) and will be confirmed later</w:t>
            </w:r>
          </w:p>
        </w:tc>
      </w:tr>
      <w:tr>
        <w:tc>
          <w:tcPr>
            <w:tcW w:type="dxa" w:w="4320"/>
            <w:shd w:val="clear" w:color="auto" w:fill="EEF2F7"/>
          </w:tcPr>
          <w:p>
            <w:r/>
            <w:r>
              <w:t>2</w:t>
            </w:r>
          </w:p>
        </w:tc>
        <w:tc>
          <w:tcPr>
            <w:tcW w:type="dxa" w:w="4320"/>
            <w:shd w:val="clear" w:color="auto" w:fill="EEF2F7"/>
          </w:tcPr>
          <w:p>
            <w:r/>
            <w:r>
              <w:t>Current CRM runs on an on‑premise SQL‑based system (e.g., Microsoft Dynamics or similar)</w:t>
            </w:r>
          </w:p>
        </w:tc>
      </w:tr>
      <w:tr>
        <w:tc>
          <w:tcPr>
            <w:tcW w:type="dxa" w:w="4320"/>
          </w:tcPr>
          <w:p>
            <w:r/>
            <w:r>
              <w:t>3</w:t>
            </w:r>
          </w:p>
        </w:tc>
        <w:tc>
          <w:tcPr>
            <w:tcW w:type="dxa" w:w="4320"/>
          </w:tcPr>
          <w:p>
            <w:r/>
            <w:r>
              <w:t>Target cloud provider will be AWS, but the plan remains provider‑agnostic where possible</w:t>
            </w:r>
          </w:p>
        </w:tc>
      </w:tr>
      <w:tr>
        <w:tc>
          <w:tcPr>
            <w:tcW w:type="dxa" w:w="4320"/>
            <w:shd w:val="clear" w:color="auto" w:fill="EEF2F7"/>
          </w:tcPr>
          <w:p>
            <w:r/>
            <w:r>
              <w:t>4</w:t>
            </w:r>
          </w:p>
        </w:tc>
        <w:tc>
          <w:tcPr>
            <w:tcW w:type="dxa" w:w="4320"/>
            <w:shd w:val="clear" w:color="auto" w:fill="EEF2F7"/>
          </w:tcPr>
          <w:p>
            <w:r/>
            <w:r>
              <w:t>Allocated budget is roughly $50,000, reflecting a “tight” constraint</w:t>
            </w:r>
          </w:p>
        </w:tc>
      </w:tr>
      <w:tr>
        <w:tc>
          <w:tcPr>
            <w:tcW w:type="dxa" w:w="4320"/>
          </w:tcPr>
          <w:p>
            <w:r/>
            <w:r>
              <w:t>5</w:t>
            </w:r>
          </w:p>
        </w:tc>
        <w:tc>
          <w:tcPr>
            <w:tcW w:type="dxa" w:w="4320"/>
          </w:tcPr>
          <w:p>
            <w:r/>
            <w:r>
              <w:t>CRM data volume is about 200 GB, encompassing databases and attachments</w:t>
            </w:r>
          </w:p>
        </w:tc>
      </w:tr>
      <w:tr>
        <w:tc>
          <w:tcPr>
            <w:tcW w:type="dxa" w:w="4320"/>
            <w:shd w:val="clear" w:color="auto" w:fill="EEF2F7"/>
          </w:tcPr>
          <w:p>
            <w:r/>
            <w:r>
              <w:t>6</w:t>
            </w:r>
          </w:p>
        </w:tc>
        <w:tc>
          <w:tcPr>
            <w:tcW w:type="dxa" w:w="4320"/>
            <w:shd w:val="clear" w:color="auto" w:fill="EEF2F7"/>
          </w:tcPr>
          <w:p>
            <w:r/>
            <w:r>
              <w:t>Existing infrastructure includes standard on‑premise servers and network connectivity sufficient for migration</w:t>
            </w:r>
          </w:p>
        </w:tc>
      </w:tr>
      <w:tr>
        <w:tc>
          <w:tcPr>
            <w:tcW w:type="dxa" w:w="4320"/>
          </w:tcPr>
          <w:p>
            <w:r/>
            <w:r>
              <w:t>7</w:t>
            </w:r>
          </w:p>
        </w:tc>
        <w:tc>
          <w:tcPr>
            <w:tcW w:type="dxa" w:w="4320"/>
          </w:tcPr>
          <w:p>
            <w:r/>
            <w:r>
              <w:t>Compliance requirements are limited to GDPR‑style data protection, no industry‑specific mandates</w:t>
            </w:r>
          </w:p>
        </w:tc>
      </w:tr>
      <w:tr>
        <w:tc>
          <w:tcPr>
            <w:tcW w:type="dxa" w:w="4320"/>
            <w:shd w:val="clear" w:color="auto" w:fill="EEF2F7"/>
          </w:tcPr>
          <w:p>
            <w:r/>
            <w:r>
              <w:t>8</w:t>
            </w:r>
          </w:p>
        </w:tc>
        <w:tc>
          <w:tcPr>
            <w:tcW w:type="dxa" w:w="4320"/>
            <w:shd w:val="clear" w:color="auto" w:fill="EEF2F7"/>
          </w:tcPr>
          <w:p>
            <w:r/>
            <w:r>
              <w:t>Internal team consists of three senior engineers plus a part‑time project manager, with additional external support to be sourced if needed</w:t>
            </w:r>
          </w:p>
        </w:tc>
      </w:tr>
    </w:tbl>
    <w:p/>
    <w:p>
      <w:r>
        <w:t>Conflicting requirements identified:</w:t>
      </w:r>
    </w:p>
    <w:p>
      <w:pPr>
        <w:pStyle w:val="ListBullet"/>
      </w:pPr>
      <w:r>
        <w:t>Tight budget may limit ability to purchase premium migration tools or extra staffing</w:t>
      </w:r>
    </w:p>
    <w:p>
      <w:pPr>
        <w:pStyle w:val="ListBullet"/>
      </w:pPr>
      <w:r>
        <w:t>Zero‑downtime requirement adds complexity and may increase effort within the 6‑week timeline</w:t>
      </w:r>
    </w:p>
    <w:p>
      <w:r>
        <w:t>Open questions for the requester:</w:t>
      </w:r>
    </w:p>
    <w:p>
      <w:pPr>
        <w:pStyle w:val="ListNumber"/>
      </w:pPr>
      <w:r>
        <w:t>Please confirm: Exact number of CRM users</w:t>
      </w:r>
    </w:p>
    <w:p>
      <w:pPr>
        <w:pStyle w:val="ListNumber"/>
      </w:pPr>
      <w:r>
        <w:t>Please confirm: Current CRM platform and version</w:t>
      </w:r>
    </w:p>
    <w:p>
      <w:pPr>
        <w:pStyle w:val="ListNumber"/>
      </w:pPr>
      <w:r>
        <w:t>Please confirm: Target cloud provider (AWS, Azure, GCP, etc.)</w:t>
      </w:r>
    </w:p>
    <w:p>
      <w:pPr>
        <w:pStyle w:val="ListNumber"/>
      </w:pPr>
      <w:r>
        <w:t>Please confirm: Allocated budget amount</w:t>
      </w:r>
    </w:p>
    <w:p>
      <w:pPr>
        <w:pStyle w:val="ListNumber"/>
      </w:pPr>
      <w:r>
        <w:t>Please confirm: Size of CRM data and databases</w:t>
      </w:r>
    </w:p>
    <w:p>
      <w:pPr>
        <w:pStyle w:val="ListNumber"/>
      </w:pPr>
      <w:r>
        <w:t>Please confirm: Existing on‑premise infrastructure details</w:t>
      </w:r>
    </w:p>
    <w:p>
      <w:pPr>
        <w:pStyle w:val="ListNumber"/>
      </w:pPr>
      <w:r>
        <w:t>Please confirm: Compliance or regulatory requirements (e.g., GDPR, HIPAA)</w:t>
      </w:r>
    </w:p>
    <w:p>
      <w:pPr>
        <w:pStyle w:val="ListNumber"/>
      </w:pPr>
      <w:r>
        <w:t>Please confirm: Available internal resources and skill sets</w:t>
      </w:r>
    </w:p>
    <w:p>
      <w:pPr>
        <w:pStyle w:val="Heading1"/>
      </w:pPr>
      <w:r>
        <w:t>Deliverables &amp; Acceptance Criteria</w:t>
      </w:r>
    </w:p>
    <w:p>
      <w:r>
        <w:t>The migration effort will produce a defined set of artifacts that enable the CTO and leadership to verify successful completion and ongoing stability of the CRM in the cloud.</w:t>
      </w:r>
    </w:p>
    <w:p>
      <w:pPr>
        <w:pStyle w:val="ListBullet"/>
      </w:pPr>
      <w:r>
        <w:t>Architecture Diagram – detailed blue‑green target design hosted on AWS, authored by the Solution Architect</w:t>
      </w:r>
    </w:p>
    <w:p>
      <w:pPr>
        <w:pStyle w:val="ListBullet"/>
      </w:pPr>
      <w:r>
        <w:t>Migration Scripts – automated IaC and data replication scripts version‑controlled, created by the Cloud Engineer and DevOps Engineer</w:t>
      </w:r>
    </w:p>
    <w:p>
      <w:pPr>
        <w:pStyle w:val="ListBullet"/>
      </w:pPr>
      <w:r>
        <w:t>Test Results – functional, performance, and zero‑downtime cutover test reports generated by the QA Engineer</w:t>
      </w:r>
    </w:p>
    <w:p>
      <w:pPr>
        <w:pStyle w:val="ListBullet"/>
      </w:pPr>
      <w:r>
        <w:t>Cutover Checklist – step‑by‑step blue‑green switch procedure with rollback actions, maintained by the Project Manager and Support Engineer</w:t>
      </w:r>
    </w:p>
    <w:p>
      <w:pPr>
        <w:pStyle w:val="ListBullet"/>
      </w:pPr>
      <w:r>
        <w:t>User Communication Pack – migration notice and post‑cutover support guide prepared by the Trainer</w:t>
      </w:r>
    </w:p>
    <w:p>
      <w:r>
        <w:t>Acceptance will be measured against the following criteria, all of which must be satisfied before sign‑off:</w:t>
      </w:r>
    </w:p>
    <w:p>
      <w:pPr>
        <w:pStyle w:val="ListBullet"/>
      </w:pPr>
      <w:r>
        <w:t>Zero‑downtime cutover achieved with no service interruption exceeding 5 minutes during the live switch (validated by real‑time monitoring logs)</w:t>
      </w:r>
    </w:p>
    <w:p>
      <w:pPr>
        <w:pStyle w:val="ListBullet"/>
      </w:pPr>
      <w:r>
        <w:t>Data integrity confirmed – row‑level checksum comparison shows 100 % match between source and target databases, and all attachment files are verified accessible</w:t>
      </w:r>
    </w:p>
    <w:p>
      <w:pPr>
        <w:pStyle w:val="ListBullet"/>
      </w:pPr>
      <w:r>
        <w:t>Performance baseline met – post‑migration response times and throughput are within 10 % of the pre‑migration on‑premise benchmarks, as documented in the performance test report</w:t>
      </w:r>
    </w:p>
    <w:p>
      <w:pPr>
        <w:pStyle w:val="ListBullet"/>
      </w:pPr>
      <w:r>
        <w:t>All migration scripts execute without errors in the production environment and are stored in the approved repository with proper version tags</w:t>
      </w:r>
    </w:p>
    <w:p>
      <w:pPr>
        <w:pStyle w:val="ListBullet"/>
      </w:pPr>
      <w:r>
        <w:t>Stakeholder sign‑off obtained from the Project Manager, Solution Architect, and CTO after successful hyper‑care period (48 hours)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CRM Cloud Migration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