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CRM Cloud Migration Plan</w:t>
      </w:r>
    </w:p>
    <w:p>
      <w:r>
        <w:rPr>
          <w:color w:val="595959"/>
          <w:sz w:val="26"/>
        </w:rPr>
        <w:t>Project Plan</w:t>
      </w:r>
    </w:p>
    <w:tbl>
      <w:tblPr>
        <w:tblStyle w:val="TableGrid"/>
        <w:tblW w:type="auto" w:w="0"/>
        <w:tblLook w:firstColumn="1" w:firstRow="1" w:lastColumn="0" w:lastRow="0" w:noHBand="0" w:noVBand="1" w:val="04A0"/>
      </w:tblPr>
      <w:tblGrid>
        <w:gridCol w:w="4320"/>
        <w:gridCol w:w="4320"/>
      </w:tblGrid>
      <w:tr>
        <w:tc>
          <w:tcPr>
            <w:tcW w:type="dxa" w:w="4320"/>
            <w:shd w:val="clear" w:color="auto" w:fill="EEF2F7"/>
          </w:tcPr>
          <w:p>
            <w:r/>
            <w:r>
              <w:rPr>
                <w:b/>
              </w:rPr>
              <w:t>Prepared for</w:t>
            </w:r>
          </w:p>
        </w:tc>
        <w:tc>
          <w:tcPr>
            <w:tcW w:type="dxa" w:w="4320"/>
          </w:tcPr>
          <w:p>
            <w:r>
              <w:t>Chief Technology Officer (CTO) and senior leadership</w:t>
            </w:r>
          </w:p>
        </w:tc>
      </w:tr>
      <w:tr>
        <w:tc>
          <w:tcPr>
            <w:tcW w:type="dxa" w:w="4320"/>
            <w:shd w:val="clear" w:color="auto" w:fill="EEF2F7"/>
          </w:tcPr>
          <w:p>
            <w:r/>
            <w:r>
              <w:rPr>
                <w:b/>
              </w:rPr>
              <w:t>Date</w:t>
            </w:r>
          </w:p>
        </w:tc>
        <w:tc>
          <w:tcPr>
            <w:tcW w:type="dxa" w:w="4320"/>
          </w:tcPr>
          <w:p>
            <w:r>
              <w:t>22 October 2026</w:t>
            </w:r>
          </w:p>
        </w:tc>
      </w:tr>
      <w:tr>
        <w:tc>
          <w:tcPr>
            <w:tcW w:type="dxa" w:w="4320"/>
            <w:shd w:val="clear" w:color="auto" w:fill="EEF2F7"/>
          </w:tcPr>
          <w:p>
            <w:r/>
            <w:r>
              <w:rPr>
                <w:b/>
              </w:rPr>
              <w:t>Prepared by</w:t>
            </w:r>
          </w:p>
        </w:tc>
        <w:tc>
          <w:tcPr>
            <w:tcW w:type="dxa" w:w="4320"/>
          </w:tcPr>
          <w:p>
            <w:r>
              <w:t>Autonomous Document Agent</w:t>
            </w:r>
          </w:p>
        </w:tc>
      </w:tr>
      <w:tr>
        <w:tc>
          <w:tcPr>
            <w:tcW w:type="dxa" w:w="4320"/>
            <w:shd w:val="clear" w:color="auto" w:fill="EEF2F7"/>
          </w:tcPr>
          <w:p>
            <w:r/>
            <w:r>
              <w:rPr>
                <w:b/>
              </w:rPr>
              <w:t>Reference</w:t>
            </w:r>
          </w:p>
        </w:tc>
        <w:tc>
          <w:tcPr>
            <w:tcW w:type="dxa" w:w="4320"/>
          </w:tcPr>
          <w:p>
            <w:r>
              <w:t>b1fdad316c</w:t>
            </w:r>
          </w:p>
        </w:tc>
      </w:tr>
    </w:tbl>
    <w:p/>
    <w:p>
      <w:pPr>
        <w:pStyle w:val="Heading1"/>
      </w:pPr>
      <w:r>
        <w:t>Executive Summary</w:t>
      </w:r>
    </w:p>
    <w:p>
      <w:r>
        <w:t>This CRM Cloud Migration Plan presents a low‑budget, six‑week strategy to relocate the organization’s CRM to a cloud environment with zero‑downtime. It defines the migration scope, outlines a six‑phase lift‑and‑shift approach using open‑source tools, provides a week‑by‑week timeline, estimates personnel and cloud costs, and identifies key risks with mitigation actions. The plan balances the tight budget against the aggressive schedule by leveraging existing staff and provider‑agnostic solutions, while highlighting assumptions that must be validated before execution.</w:t>
      </w:r>
    </w:p>
    <w:p>
      <w:pPr>
        <w:pStyle w:val="ListBullet"/>
      </w:pPr>
      <w:r>
        <w:t>Confirm user count, exact CRM platform, total budget, and preferred cloud provider</w:t>
      </w:r>
    </w:p>
    <w:p>
      <w:pPr>
        <w:pStyle w:val="ListBullet"/>
      </w:pPr>
      <w:r>
        <w:t>Finalize licensing model and compliance requirements</w:t>
      </w:r>
    </w:p>
    <w:p>
      <w:pPr>
        <w:pStyle w:val="ListBullet"/>
      </w:pPr>
      <w:r>
        <w:t>Secure any additional resources or contingency funding needed for risk mitigation</w:t>
      </w:r>
    </w:p>
    <w:p>
      <w:pPr>
        <w:pStyle w:val="ListBullet"/>
      </w:pPr>
      <w:r>
        <w:t>Proceed to detailed design and kickoff once open questions are answered</w:t>
      </w:r>
    </w:p>
    <w:p>
      <w:pPr>
        <w:pStyle w:val="Heading1"/>
      </w:pPr>
      <w:r>
        <w:t>Scope &amp; Objectives</w:t>
      </w:r>
    </w:p>
    <w:p>
      <w:pPr>
        <w:pStyle w:val="ListBullet"/>
      </w:pPr>
      <w:r>
        <w:t>In‑Scope: Migration of all CRM data (records, attachments, and metadata) to the selected cloud environment</w:t>
      </w:r>
    </w:p>
    <w:p>
      <w:pPr>
        <w:pStyle w:val="ListBullet"/>
      </w:pPr>
      <w:r>
        <w:t>In‑Scope: Transfer of existing user access controls and role‑based permissions using a scalable licensing model (user count to be confirmed)</w:t>
      </w:r>
    </w:p>
    <w:p>
      <w:pPr>
        <w:pStyle w:val="ListBullet"/>
      </w:pPr>
      <w:r>
        <w:t>In‑Scope: Replication of current integrations (email, ERP, analytics) via API gateways to maintain functional continuity</w:t>
      </w:r>
    </w:p>
    <w:p>
      <w:pPr>
        <w:pStyle w:val="ListBullet"/>
      </w:pPr>
      <w:r>
        <w:t>In‑Scope: Implementation of baseline security controls (encryption at rest and in transit, multi‑factor authentication, audit logging) to meet standard industry regulations</w:t>
      </w:r>
    </w:p>
    <w:p>
      <w:pPr>
        <w:pStyle w:val="ListBullet"/>
      </w:pPr>
      <w:r>
        <w:t>In‑Scope: Zero‑downtime cut‑over strategy employing live data sync and traffic shadowing</w:t>
      </w:r>
    </w:p>
    <w:p>
      <w:pPr>
        <w:pStyle w:val="ListBullet"/>
      </w:pPr>
      <w:r>
        <w:t>Out‑of‑Scope: Migration or modernization of any non‑CRM systems (e.g., HR, finance applications)</w:t>
      </w:r>
    </w:p>
    <w:p>
      <w:pPr>
        <w:pStyle w:val="ListBullet"/>
      </w:pPr>
      <w:r>
        <w:t>Out‑of‑Scope: Post‑migration performance tuning or long‑term cost‑optimization initiatives beyond the initial 6‑week rollout</w:t>
      </w:r>
    </w:p>
    <w:p>
      <w:pPr>
        <w:pStyle w:val="ListBullet"/>
      </w:pPr>
      <w:r>
        <w:t>Out‑of‑Scope: Development of new custom integrations or feature enhancements not present in the current CRM</w:t>
      </w:r>
    </w:p>
    <w:p>
      <w:r>
        <w:t>The scope reflects the key facts—tight budget, 6‑week deadline, and zero‑downtime requirement—and aligns with assumptions that user count is pending, the cloud provider is provider‑agnostic, and existing staff will drive the effort using cost‑effective, open‑source tooling.</w:t>
      </w:r>
    </w:p>
    <w:p>
      <w:pPr>
        <w:pStyle w:val="Heading1"/>
      </w:pPr>
      <w:r>
        <w:t>Migration Approach</w:t>
      </w:r>
    </w:p>
    <w:p>
      <w:r>
        <w:t>The migration will follow a six‑phase lift‑and‑shift model that leverages data replication and DNS failover to achieve zero downtime while staying within a tight budget. All activities are designed to be executed by the existing cloud‑savvy engineer and the project manager, supplemented with open‑source tooling to avoid licensing costs.</w:t>
      </w:r>
    </w:p>
    <w:p>
      <w:pPr>
        <w:pStyle w:val="ListNumber"/>
      </w:pPr>
      <w:r>
        <w:t>Discovery – Inventory all CRM components, data volumes, and integration endpoints. Use open‑source scanner (e.g., nmap) and create a baseline performance profile. Estimated effort: 2 days.</w:t>
      </w:r>
    </w:p>
    <w:p>
      <w:pPr>
        <w:pStyle w:val="ListNumber"/>
      </w:pPr>
      <w:r>
        <w:t>Environment Set‑up – Provision a sandbox environment in the chosen IaaS using infrastructure‑as‑code (Terraform) and configure open‑source replication tools (e.g., pgBackRest for PostgreSQL or SymmetricDS for generic DB). Deploy API gateway (Kong) for integration routing. Estimated effort: 4 days.</w:t>
      </w:r>
    </w:p>
    <w:p>
      <w:pPr>
        <w:pStyle w:val="ListNumber"/>
      </w:pPr>
      <w:r>
        <w:t>Pilot – Migrate a low‑risk user segment (≈5 % of total users, estimate) to validate replication latency and integration flow. Conduct functional tests and capture performance metrics. Estimated effort: 5 days.</w:t>
      </w:r>
    </w:p>
    <w:p>
      <w:pPr>
        <w:pStyle w:val="ListNumber"/>
      </w:pPr>
      <w:r>
        <w:t>Full Sync – Enable continuous data replication for the entire dataset while the production system remains live. Monitor lag and resolve any schema mismatches. Estimated effort: 7 days.</w:t>
      </w:r>
    </w:p>
    <w:p>
      <w:pPr>
        <w:pStyle w:val="ListNumber"/>
      </w:pPr>
      <w:r>
        <w:t>Cut‑over Rehearsal – Perform a DNS failover drill in a controlled window, redirect a test sub‑domain to the cloud instance, and verify end‑to‑end transaction processing. Document rollback steps. Estimated effort: 3 days.</w:t>
      </w:r>
    </w:p>
    <w:p>
      <w:pPr>
        <w:pStyle w:val="ListNumber"/>
      </w:pPr>
      <w:r>
        <w:t>Cut‑over &amp; Validation – Execute the final DNS switch during a low‑traffic period, monitor real‑time replication lag (target &lt;5 seconds), and run post‑migration validation scripts. Obtain sign‑off from business owners. Estimated effort: 2 days.</w:t>
      </w:r>
    </w:p>
    <w:p>
      <w:pPr>
        <w:pStyle w:val="ListBullet"/>
      </w:pPr>
      <w:r>
        <w:t>Leverage existing staff: Cloud Engineer (lead technical execution) and Project Manager (schedule, risk tracking).</w:t>
      </w:r>
    </w:p>
    <w:p>
      <w:pPr>
        <w:pStyle w:val="ListBullet"/>
      </w:pPr>
      <w:r>
        <w:t>Open‑source tools only: Terraform, pgBackRest/SymmetricDS, Kong, Ansible for configuration management.</w:t>
      </w:r>
    </w:p>
    <w:p>
      <w:pPr>
        <w:pStyle w:val="ListBullet"/>
      </w:pPr>
      <w:r>
        <w:t>Zero‑downtime guarantee achieved through continuous replication and DNS TTL reduction (TTL set to 60 seconds during cut‑over).</w:t>
      </w:r>
    </w:p>
    <w:p>
      <w:pPr>
        <w:pStyle w:val="ListBullet"/>
      </w:pPr>
      <w:r>
        <w:t>Rollback plan: revert DNS to on‑prem endpoint and pause replication if validation fails.</w:t>
      </w:r>
    </w:p>
    <w:p>
      <w:pPr>
        <w:pStyle w:val="Heading1"/>
      </w:pPr>
      <w:r>
        <w:t>Project Timeline</w:t>
      </w:r>
    </w:p>
    <w:p>
      <w:r>
        <w:t>The following week‑by‑week Gantt‑style table outlines the key migration tasks, responsible roles, and effort estimates (all figures are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rPr>
              <w:t>Week</w:t>
            </w:r>
          </w:p>
        </w:tc>
        <w:tc>
          <w:tcPr>
            <w:tcW w:type="dxa" w:w="2160"/>
            <w:shd w:val="clear" w:color="auto" w:fill="1F3A5F"/>
          </w:tcPr>
          <w:p>
            <w:r/>
            <w:r>
              <w:rPr>
                <w:b/>
                <w:color w:val="FFFFFF"/>
              </w:rPr>
              <w:t>Tasks</w:t>
            </w:r>
          </w:p>
        </w:tc>
        <w:tc>
          <w:tcPr>
            <w:tcW w:type="dxa" w:w="2160"/>
            <w:shd w:val="clear" w:color="auto" w:fill="1F3A5F"/>
          </w:tcPr>
          <w:p>
            <w:r/>
            <w:r>
              <w:rPr>
                <w:b/>
                <w:color w:val="FFFFFF"/>
              </w:rPr>
              <w:t>Owner</w:t>
            </w:r>
          </w:p>
        </w:tc>
        <w:tc>
          <w:tcPr>
            <w:tcW w:type="dxa" w:w="2160"/>
            <w:shd w:val="clear" w:color="auto" w:fill="1F3A5F"/>
          </w:tcPr>
          <w:p>
            <w:r/>
            <w:r>
              <w:rPr>
                <w:b/>
                <w:color w:val="FFFFFF"/>
              </w:rPr>
              <w:t>Estimated Effort</w:t>
            </w:r>
          </w:p>
        </w:tc>
      </w:tr>
      <w:tr>
        <w:tc>
          <w:tcPr>
            <w:tcW w:type="dxa" w:w="2160"/>
          </w:tcPr>
          <w:p>
            <w:r/>
            <w:r>
              <w:t>Week 1</w:t>
            </w:r>
          </w:p>
        </w:tc>
        <w:tc>
          <w:tcPr>
            <w:tcW w:type="dxa" w:w="2160"/>
          </w:tcPr>
          <w:p>
            <w:r/>
            <w:r>
              <w:t>Kick‑off, requirements gathering, user count verification</w:t>
            </w:r>
          </w:p>
        </w:tc>
        <w:tc>
          <w:tcPr>
            <w:tcW w:type="dxa" w:w="2160"/>
          </w:tcPr>
          <w:p>
            <w:r/>
            <w:r>
              <w:t>Project Manager</w:t>
            </w:r>
          </w:p>
        </w:tc>
        <w:tc>
          <w:tcPr>
            <w:tcW w:type="dxa" w:w="2160"/>
          </w:tcPr>
          <w:p>
            <w:r/>
            <w:r>
              <w:t>80</w:t>
            </w:r>
          </w:p>
        </w:tc>
      </w:tr>
      <w:tr>
        <w:tc>
          <w:tcPr>
            <w:tcW w:type="dxa" w:w="2160"/>
            <w:shd w:val="clear" w:color="auto" w:fill="EEF2F7"/>
          </w:tcPr>
          <w:p>
            <w:r/>
            <w:r>
              <w:t>Week 2</w:t>
            </w:r>
          </w:p>
        </w:tc>
        <w:tc>
          <w:tcPr>
            <w:tcW w:type="dxa" w:w="2160"/>
            <w:shd w:val="clear" w:color="auto" w:fill="EEF2F7"/>
          </w:tcPr>
          <w:p>
            <w:r/>
            <w:r>
              <w:t>Current environment audit, licensing model design, cloud provider selection</w:t>
            </w:r>
          </w:p>
        </w:tc>
        <w:tc>
          <w:tcPr>
            <w:tcW w:type="dxa" w:w="2160"/>
            <w:shd w:val="clear" w:color="auto" w:fill="EEF2F7"/>
          </w:tcPr>
          <w:p>
            <w:r/>
            <w:r>
              <w:t>Cloud Engineer</w:t>
            </w:r>
          </w:p>
        </w:tc>
        <w:tc>
          <w:tcPr>
            <w:tcW w:type="dxa" w:w="2160"/>
            <w:shd w:val="clear" w:color="auto" w:fill="EEF2F7"/>
          </w:tcPr>
          <w:p>
            <w:r/>
            <w:r>
              <w:t>120</w:t>
            </w:r>
          </w:p>
        </w:tc>
      </w:tr>
      <w:tr>
        <w:tc>
          <w:tcPr>
            <w:tcW w:type="dxa" w:w="2160"/>
          </w:tcPr>
          <w:p>
            <w:r/>
            <w:r>
              <w:t>Week 3</w:t>
            </w:r>
          </w:p>
        </w:tc>
        <w:tc>
          <w:tcPr>
            <w:tcW w:type="dxa" w:w="2160"/>
          </w:tcPr>
          <w:p>
            <w:r/>
            <w:r>
              <w:t>Infrastructure provisioning, security baseline setup, data replication pilot</w:t>
            </w:r>
          </w:p>
        </w:tc>
        <w:tc>
          <w:tcPr>
            <w:tcW w:type="dxa" w:w="2160"/>
          </w:tcPr>
          <w:p>
            <w:r/>
            <w:r>
              <w:t>Cloud Engineer</w:t>
            </w:r>
          </w:p>
        </w:tc>
        <w:tc>
          <w:tcPr>
            <w:tcW w:type="dxa" w:w="2160"/>
          </w:tcPr>
          <w:p>
            <w:r/>
            <w:r>
              <w:t>100</w:t>
            </w:r>
          </w:p>
        </w:tc>
      </w:tr>
      <w:tr>
        <w:tc>
          <w:tcPr>
            <w:tcW w:type="dxa" w:w="2160"/>
            <w:shd w:val="clear" w:color="auto" w:fill="EEF2F7"/>
          </w:tcPr>
          <w:p>
            <w:r/>
            <w:r>
              <w:t>Week 4</w:t>
            </w:r>
          </w:p>
        </w:tc>
        <w:tc>
          <w:tcPr>
            <w:tcW w:type="dxa" w:w="2160"/>
            <w:shd w:val="clear" w:color="auto" w:fill="EEF2F7"/>
          </w:tcPr>
          <w:p>
            <w:r/>
            <w:r>
              <w:t>Full data migration, integration configuration, automated testing scripts</w:t>
            </w:r>
          </w:p>
        </w:tc>
        <w:tc>
          <w:tcPr>
            <w:tcW w:type="dxa" w:w="2160"/>
            <w:shd w:val="clear" w:color="auto" w:fill="EEF2F7"/>
          </w:tcPr>
          <w:p>
            <w:r/>
            <w:r>
              <w:t>Integration Lead</w:t>
            </w:r>
          </w:p>
        </w:tc>
        <w:tc>
          <w:tcPr>
            <w:tcW w:type="dxa" w:w="2160"/>
            <w:shd w:val="clear" w:color="auto" w:fill="EEF2F7"/>
          </w:tcPr>
          <w:p>
            <w:r/>
            <w:r>
              <w:t>140</w:t>
            </w:r>
          </w:p>
        </w:tc>
      </w:tr>
      <w:tr>
        <w:tc>
          <w:tcPr>
            <w:tcW w:type="dxa" w:w="2160"/>
          </w:tcPr>
          <w:p>
            <w:r/>
            <w:r>
              <w:t>Week 5</w:t>
            </w:r>
          </w:p>
        </w:tc>
        <w:tc>
          <w:tcPr>
            <w:tcW w:type="dxa" w:w="2160"/>
          </w:tcPr>
          <w:p>
            <w:r/>
            <w:r>
              <w:t>User acceptance testing, performance tuning, rollback plan finalization</w:t>
            </w:r>
          </w:p>
        </w:tc>
        <w:tc>
          <w:tcPr>
            <w:tcW w:type="dxa" w:w="2160"/>
          </w:tcPr>
          <w:p>
            <w:r/>
            <w:r>
              <w:t>QA Lead</w:t>
            </w:r>
          </w:p>
        </w:tc>
        <w:tc>
          <w:tcPr>
            <w:tcW w:type="dxa" w:w="2160"/>
          </w:tcPr>
          <w:p>
            <w:r/>
            <w:r>
              <w:t>110</w:t>
            </w:r>
          </w:p>
        </w:tc>
      </w:tr>
      <w:tr>
        <w:tc>
          <w:tcPr>
            <w:tcW w:type="dxa" w:w="2160"/>
            <w:shd w:val="clear" w:color="auto" w:fill="EEF2F7"/>
          </w:tcPr>
          <w:p>
            <w:r/>
            <w:r>
              <w:t>Week 6</w:t>
            </w:r>
          </w:p>
        </w:tc>
        <w:tc>
          <w:tcPr>
            <w:tcW w:type="dxa" w:w="2160"/>
            <w:shd w:val="clear" w:color="auto" w:fill="EEF2F7"/>
          </w:tcPr>
          <w:p>
            <w:r/>
            <w:r>
              <w:t>Cut‑over execution, monitoring, post‑migration support, project closure</w:t>
            </w:r>
          </w:p>
        </w:tc>
        <w:tc>
          <w:tcPr>
            <w:tcW w:type="dxa" w:w="2160"/>
            <w:shd w:val="clear" w:color="auto" w:fill="EEF2F7"/>
          </w:tcPr>
          <w:p>
            <w:r/>
            <w:r>
              <w:t>Project Manager</w:t>
            </w:r>
          </w:p>
        </w:tc>
        <w:tc>
          <w:tcPr>
            <w:tcW w:type="dxa" w:w="2160"/>
            <w:shd w:val="clear" w:color="auto" w:fill="EEF2F7"/>
          </w:tcPr>
          <w:p>
            <w:r/>
            <w:r>
              <w:t>90</w:t>
            </w:r>
          </w:p>
        </w:tc>
      </w:tr>
    </w:tbl>
    <w:p/>
    <w:p>
      <w:r>
        <w:t>Notes: Effort estimates are expressed in person‑hours and assume existing staff capacity; additional resources may be engaged if user count exceeds initial assumptions. All activities are planned to run sequentially to meet the zero‑downtime requirement.</w:t>
      </w:r>
    </w:p>
    <w:p>
      <w:pPr>
        <w:pStyle w:val="Heading1"/>
      </w:pPr>
      <w:r>
        <w:t>Resources &amp; Budget Estimate</w:t>
      </w:r>
    </w:p>
    <w:p>
      <w:r>
        <w:t>The following table outlines the estimated personnel effort, cloud service consumption, and licensing costs for the CRM cloud migration, emphasizing a tight‑budget approach.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rPr>
              <w:t>Category</w:t>
            </w:r>
          </w:p>
        </w:tc>
        <w:tc>
          <w:tcPr>
            <w:tcW w:type="dxa" w:w="2160"/>
            <w:shd w:val="clear" w:color="auto" w:fill="1F3A5F"/>
          </w:tcPr>
          <w:p>
            <w:r/>
            <w:r>
              <w:rPr>
                <w:b/>
                <w:color w:val="FFFFFF"/>
              </w:rPr>
              <w:t>Item</w:t>
            </w:r>
          </w:p>
        </w:tc>
        <w:tc>
          <w:tcPr>
            <w:tcW w:type="dxa" w:w="2160"/>
            <w:shd w:val="clear" w:color="auto" w:fill="1F3A5F"/>
          </w:tcPr>
          <w:p>
            <w:r/>
            <w:r>
              <w:rPr>
                <w:b/>
                <w:color w:val="FFFFFF"/>
              </w:rPr>
              <w:t>Owner</w:t>
            </w:r>
          </w:p>
        </w:tc>
        <w:tc>
          <w:tcPr>
            <w:tcW w:type="dxa" w:w="2160"/>
            <w:shd w:val="clear" w:color="auto" w:fill="1F3A5F"/>
          </w:tcPr>
          <w:p>
            <w:r/>
            <w:r>
              <w:rPr>
                <w:b/>
                <w:color w:val="FFFFFF"/>
              </w:rPr>
              <w:t>Estimated Cost (USD)</w:t>
            </w:r>
          </w:p>
        </w:tc>
      </w:tr>
      <w:tr>
        <w:tc>
          <w:tcPr>
            <w:tcW w:type="dxa" w:w="2160"/>
          </w:tcPr>
          <w:p>
            <w:r/>
            <w:r>
              <w:t>Personnel</w:t>
            </w:r>
          </w:p>
        </w:tc>
        <w:tc>
          <w:tcPr>
            <w:tcW w:type="dxa" w:w="2160"/>
          </w:tcPr>
          <w:p>
            <w:r/>
            <w:r>
              <w:t>Project Manager</w:t>
            </w:r>
          </w:p>
        </w:tc>
        <w:tc>
          <w:tcPr>
            <w:tcW w:type="dxa" w:w="2160"/>
          </w:tcPr>
          <w:p>
            <w:r/>
            <w:r>
              <w:t>Project Manager</w:t>
            </w:r>
          </w:p>
        </w:tc>
        <w:tc>
          <w:tcPr>
            <w:tcW w:type="dxa" w:w="2160"/>
          </w:tcPr>
          <w:p>
            <w:r/>
            <w:r>
              <w:t>5,000</w:t>
            </w:r>
          </w:p>
        </w:tc>
      </w:tr>
      <w:tr>
        <w:tc>
          <w:tcPr>
            <w:tcW w:type="dxa" w:w="2160"/>
            <w:shd w:val="clear" w:color="auto" w:fill="EEF2F7"/>
          </w:tcPr>
          <w:p>
            <w:r/>
            <w:r>
              <w:t>Personnel</w:t>
            </w:r>
          </w:p>
        </w:tc>
        <w:tc>
          <w:tcPr>
            <w:tcW w:type="dxa" w:w="2160"/>
            <w:shd w:val="clear" w:color="auto" w:fill="EEF2F7"/>
          </w:tcPr>
          <w:p>
            <w:r/>
            <w:r>
              <w:t>Cloud Engineer</w:t>
            </w:r>
          </w:p>
        </w:tc>
        <w:tc>
          <w:tcPr>
            <w:tcW w:type="dxa" w:w="2160"/>
            <w:shd w:val="clear" w:color="auto" w:fill="EEF2F7"/>
          </w:tcPr>
          <w:p>
            <w:r/>
            <w:r>
              <w:t>Cloud Engineer</w:t>
            </w:r>
          </w:p>
        </w:tc>
        <w:tc>
          <w:tcPr>
            <w:tcW w:type="dxa" w:w="2160"/>
            <w:shd w:val="clear" w:color="auto" w:fill="EEF2F7"/>
          </w:tcPr>
          <w:p>
            <w:r/>
            <w:r>
              <w:t>7,500</w:t>
            </w:r>
          </w:p>
        </w:tc>
      </w:tr>
      <w:tr>
        <w:tc>
          <w:tcPr>
            <w:tcW w:type="dxa" w:w="2160"/>
          </w:tcPr>
          <w:p>
            <w:r/>
            <w:r>
              <w:t>Personnel</w:t>
            </w:r>
          </w:p>
        </w:tc>
        <w:tc>
          <w:tcPr>
            <w:tcW w:type="dxa" w:w="2160"/>
          </w:tcPr>
          <w:p>
            <w:r/>
            <w:r>
              <w:t>Database Administrator</w:t>
            </w:r>
          </w:p>
        </w:tc>
        <w:tc>
          <w:tcPr>
            <w:tcW w:type="dxa" w:w="2160"/>
          </w:tcPr>
          <w:p>
            <w:r/>
            <w:r>
              <w:t>Database Administrator</w:t>
            </w:r>
          </w:p>
        </w:tc>
        <w:tc>
          <w:tcPr>
            <w:tcW w:type="dxa" w:w="2160"/>
          </w:tcPr>
          <w:p>
            <w:r/>
            <w:r>
              <w:t>4,000</w:t>
            </w:r>
          </w:p>
        </w:tc>
      </w:tr>
      <w:tr>
        <w:tc>
          <w:tcPr>
            <w:tcW w:type="dxa" w:w="2160"/>
            <w:shd w:val="clear" w:color="auto" w:fill="EEF2F7"/>
          </w:tcPr>
          <w:p>
            <w:r/>
            <w:r>
              <w:t>Personnel</w:t>
            </w:r>
          </w:p>
        </w:tc>
        <w:tc>
          <w:tcPr>
            <w:tcW w:type="dxa" w:w="2160"/>
            <w:shd w:val="clear" w:color="auto" w:fill="EEF2F7"/>
          </w:tcPr>
          <w:p>
            <w:r/>
            <w:r>
              <w:t>Tester</w:t>
            </w:r>
          </w:p>
        </w:tc>
        <w:tc>
          <w:tcPr>
            <w:tcW w:type="dxa" w:w="2160"/>
            <w:shd w:val="clear" w:color="auto" w:fill="EEF2F7"/>
          </w:tcPr>
          <w:p>
            <w:r/>
            <w:r>
              <w:t>Quality Assurance</w:t>
            </w:r>
          </w:p>
        </w:tc>
        <w:tc>
          <w:tcPr>
            <w:tcW w:type="dxa" w:w="2160"/>
            <w:shd w:val="clear" w:color="auto" w:fill="EEF2F7"/>
          </w:tcPr>
          <w:p>
            <w:r/>
            <w:r>
              <w:t>3,000</w:t>
            </w:r>
          </w:p>
        </w:tc>
      </w:tr>
      <w:tr>
        <w:tc>
          <w:tcPr>
            <w:tcW w:type="dxa" w:w="2160"/>
          </w:tcPr>
          <w:p>
            <w:r/>
            <w:r>
              <w:t>Cloud Services</w:t>
            </w:r>
          </w:p>
        </w:tc>
        <w:tc>
          <w:tcPr>
            <w:tcW w:type="dxa" w:w="2160"/>
          </w:tcPr>
          <w:p>
            <w:r/>
            <w:r>
              <w:t>Compute (VMs)</w:t>
            </w:r>
          </w:p>
        </w:tc>
        <w:tc>
          <w:tcPr>
            <w:tcW w:type="dxa" w:w="2160"/>
          </w:tcPr>
          <w:p>
            <w:r/>
            <w:r>
              <w:t>Cloud Engineer</w:t>
            </w:r>
          </w:p>
        </w:tc>
        <w:tc>
          <w:tcPr>
            <w:tcW w:type="dxa" w:w="2160"/>
          </w:tcPr>
          <w:p>
            <w:r/>
            <w:r>
              <w:t>6,000</w:t>
            </w:r>
          </w:p>
        </w:tc>
      </w:tr>
      <w:tr>
        <w:tc>
          <w:tcPr>
            <w:tcW w:type="dxa" w:w="2160"/>
            <w:shd w:val="clear" w:color="auto" w:fill="EEF2F7"/>
          </w:tcPr>
          <w:p>
            <w:r/>
            <w:r>
              <w:t>Cloud Services</w:t>
            </w:r>
          </w:p>
        </w:tc>
        <w:tc>
          <w:tcPr>
            <w:tcW w:type="dxa" w:w="2160"/>
            <w:shd w:val="clear" w:color="auto" w:fill="EEF2F7"/>
          </w:tcPr>
          <w:p>
            <w:r/>
            <w:r>
              <w:t>Storage (SSD)</w:t>
            </w:r>
          </w:p>
        </w:tc>
        <w:tc>
          <w:tcPr>
            <w:tcW w:type="dxa" w:w="2160"/>
            <w:shd w:val="clear" w:color="auto" w:fill="EEF2F7"/>
          </w:tcPr>
          <w:p>
            <w:r/>
            <w:r>
              <w:t>Cloud Engineer</w:t>
            </w:r>
          </w:p>
        </w:tc>
        <w:tc>
          <w:tcPr>
            <w:tcW w:type="dxa" w:w="2160"/>
            <w:shd w:val="clear" w:color="auto" w:fill="EEF2F7"/>
          </w:tcPr>
          <w:p>
            <w:r/>
            <w:r>
              <w:t>2,500</w:t>
            </w:r>
          </w:p>
        </w:tc>
      </w:tr>
      <w:tr>
        <w:tc>
          <w:tcPr>
            <w:tcW w:type="dxa" w:w="2160"/>
          </w:tcPr>
          <w:p>
            <w:r/>
            <w:r>
              <w:t>Cloud Services</w:t>
            </w:r>
          </w:p>
        </w:tc>
        <w:tc>
          <w:tcPr>
            <w:tcW w:type="dxa" w:w="2160"/>
          </w:tcPr>
          <w:p>
            <w:r/>
            <w:r>
              <w:t>Networking (Data Transfer)</w:t>
            </w:r>
          </w:p>
        </w:tc>
        <w:tc>
          <w:tcPr>
            <w:tcW w:type="dxa" w:w="2160"/>
          </w:tcPr>
          <w:p>
            <w:r/>
            <w:r>
              <w:t>Cloud Engineer</w:t>
            </w:r>
          </w:p>
        </w:tc>
        <w:tc>
          <w:tcPr>
            <w:tcW w:type="dxa" w:w="2160"/>
          </w:tcPr>
          <w:p>
            <w:r/>
            <w:r>
              <w:t>1,500</w:t>
            </w:r>
          </w:p>
        </w:tc>
      </w:tr>
      <w:tr>
        <w:tc>
          <w:tcPr>
            <w:tcW w:type="dxa" w:w="2160"/>
            <w:shd w:val="clear" w:color="auto" w:fill="EEF2F7"/>
          </w:tcPr>
          <w:p>
            <w:r/>
            <w:r>
              <w:t>Licensing</w:t>
            </w:r>
          </w:p>
        </w:tc>
        <w:tc>
          <w:tcPr>
            <w:tcW w:type="dxa" w:w="2160"/>
            <w:shd w:val="clear" w:color="auto" w:fill="EEF2F7"/>
          </w:tcPr>
          <w:p>
            <w:r/>
            <w:r>
              <w:t>CRM Migration Tool (open‑source variant)</w:t>
            </w:r>
          </w:p>
        </w:tc>
        <w:tc>
          <w:tcPr>
            <w:tcW w:type="dxa" w:w="2160"/>
            <w:shd w:val="clear" w:color="auto" w:fill="EEF2F7"/>
          </w:tcPr>
          <w:p>
            <w:r/>
            <w:r>
              <w:t>Project Manager</w:t>
            </w:r>
          </w:p>
        </w:tc>
        <w:tc>
          <w:tcPr>
            <w:tcW w:type="dxa" w:w="2160"/>
            <w:shd w:val="clear" w:color="auto" w:fill="EEF2F7"/>
          </w:tcPr>
          <w:p>
            <w:r/>
            <w:r>
              <w:t>1,200</w:t>
            </w:r>
          </w:p>
        </w:tc>
      </w:tr>
      <w:tr>
        <w:tc>
          <w:tcPr>
            <w:tcW w:type="dxa" w:w="2160"/>
          </w:tcPr>
          <w:p>
            <w:r/>
            <w:r>
              <w:t>Licensing</w:t>
            </w:r>
          </w:p>
        </w:tc>
        <w:tc>
          <w:tcPr>
            <w:tcW w:type="dxa" w:w="2160"/>
          </w:tcPr>
          <w:p>
            <w:r/>
            <w:r>
              <w:t>API Gateway (basic tier)</w:t>
            </w:r>
          </w:p>
        </w:tc>
        <w:tc>
          <w:tcPr>
            <w:tcW w:type="dxa" w:w="2160"/>
          </w:tcPr>
          <w:p>
            <w:r/>
            <w:r>
              <w:t>Cloud Engineer</w:t>
            </w:r>
          </w:p>
        </w:tc>
        <w:tc>
          <w:tcPr>
            <w:tcW w:type="dxa" w:w="2160"/>
          </w:tcPr>
          <w:p>
            <w:r/>
            <w:r>
              <w:t>800</w:t>
            </w:r>
          </w:p>
        </w:tc>
      </w:tr>
    </w:tbl>
    <w:p/>
    <w:p>
      <w:r>
        <w:t>All figures are rough estimates and should be refined once the exact user count, chosen cloud provider, and licensing model are confirmed. The plan prioritizes leveraging existing staff and open‑source components to stay within the limited budget.</w:t>
      </w:r>
    </w:p>
    <w:p>
      <w:pPr>
        <w:pStyle w:val="Heading1"/>
      </w:pPr>
      <w:r>
        <w:t>Risk Register</w:t>
      </w:r>
    </w:p>
    <w:p>
      <w:r>
        <w:t>The following risk matrix captures the primary concerns for the CRM cloud migration, including the budget‑timeline conflict, data synchronization challenges, compliance gaps, and resource constraints, along with mitigation actions.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r/>
            <w:r>
              <w:rPr>
                <w:b/>
                <w:color w:val="FFFFFF"/>
              </w:rPr>
              <w:t>Risk ID</w:t>
            </w:r>
          </w:p>
        </w:tc>
        <w:tc>
          <w:tcPr>
            <w:tcW w:type="dxa" w:w="1234"/>
            <w:shd w:val="clear" w:color="auto" w:fill="1F3A5F"/>
          </w:tcPr>
          <w:p>
            <w:r/>
            <w:r>
              <w:rPr>
                <w:b/>
                <w:color w:val="FFFFFF"/>
              </w:rPr>
              <w:t>Description</w:t>
            </w:r>
          </w:p>
        </w:tc>
        <w:tc>
          <w:tcPr>
            <w:tcW w:type="dxa" w:w="1234"/>
            <w:shd w:val="clear" w:color="auto" w:fill="1F3A5F"/>
          </w:tcPr>
          <w:p>
            <w:r/>
            <w:r>
              <w:rPr>
                <w:b/>
                <w:color w:val="FFFFFF"/>
              </w:rPr>
              <w:t>Likelihood</w:t>
            </w:r>
          </w:p>
        </w:tc>
        <w:tc>
          <w:tcPr>
            <w:tcW w:type="dxa" w:w="1234"/>
            <w:shd w:val="clear" w:color="auto" w:fill="1F3A5F"/>
          </w:tcPr>
          <w:p>
            <w:r/>
            <w:r>
              <w:rPr>
                <w:b/>
                <w:color w:val="FFFFFF"/>
              </w:rPr>
              <w:t>Impact</w:t>
            </w:r>
          </w:p>
        </w:tc>
        <w:tc>
          <w:tcPr>
            <w:tcW w:type="dxa" w:w="1234"/>
            <w:shd w:val="clear" w:color="auto" w:fill="1F3A5F"/>
          </w:tcPr>
          <w:p>
            <w:r/>
            <w:r>
              <w:rPr>
                <w:b/>
                <w:color w:val="FFFFFF"/>
              </w:rPr>
              <w:t>Score</w:t>
            </w:r>
          </w:p>
        </w:tc>
        <w:tc>
          <w:tcPr>
            <w:tcW w:type="dxa" w:w="1234"/>
            <w:shd w:val="clear" w:color="auto" w:fill="1F3A5F"/>
          </w:tcPr>
          <w:p>
            <w:r/>
            <w:r>
              <w:rPr>
                <w:b/>
                <w:color w:val="FFFFFF"/>
              </w:rPr>
              <w:t>Owner</w:t>
            </w:r>
          </w:p>
        </w:tc>
        <w:tc>
          <w:tcPr>
            <w:tcW w:type="dxa" w:w="1234"/>
            <w:shd w:val="clear" w:color="auto" w:fill="1F3A5F"/>
          </w:tcPr>
          <w:p>
            <w:r/>
            <w:r>
              <w:rPr>
                <w:b/>
                <w:color w:val="FFFFFF"/>
              </w:rPr>
              <w:t>Mitigation</w:t>
            </w:r>
          </w:p>
        </w:tc>
      </w:tr>
      <w:tr>
        <w:tc>
          <w:tcPr>
            <w:tcW w:type="dxa" w:w="1234"/>
          </w:tcPr>
          <w:p>
            <w:r/>
            <w:r>
              <w:t>R1</w:t>
            </w:r>
          </w:p>
        </w:tc>
        <w:tc>
          <w:tcPr>
            <w:tcW w:type="dxa" w:w="1234"/>
          </w:tcPr>
          <w:p>
            <w:r/>
            <w:r>
              <w:t>Budget‑timeline conflict: limited funds vs. 6‑week deadline</w:t>
            </w:r>
          </w:p>
        </w:tc>
        <w:tc>
          <w:tcPr>
            <w:tcW w:type="dxa" w:w="1234"/>
          </w:tcPr>
          <w:p>
            <w:r/>
            <w:r>
              <w:t>Medium</w:t>
            </w:r>
          </w:p>
        </w:tc>
        <w:tc>
          <w:tcPr>
            <w:tcW w:type="dxa" w:w="1234"/>
          </w:tcPr>
          <w:p>
            <w:r/>
            <w:r>
              <w:t>High</w:t>
            </w:r>
          </w:p>
        </w:tc>
        <w:tc>
          <w:tcPr>
            <w:tcW w:type="dxa" w:w="1234"/>
          </w:tcPr>
          <w:p>
            <w:r/>
            <w:r>
              <w:t>15</w:t>
            </w:r>
          </w:p>
        </w:tc>
        <w:tc>
          <w:tcPr>
            <w:tcW w:type="dxa" w:w="1234"/>
          </w:tcPr>
          <w:p>
            <w:r/>
            <w:r>
              <w:t>Finance Lead</w:t>
            </w:r>
          </w:p>
        </w:tc>
        <w:tc>
          <w:tcPr>
            <w:tcW w:type="dxa" w:w="1234"/>
          </w:tcPr>
          <w:p>
            <w:r/>
            <w:r>
              <w:t>Prioritize critical path tasks, use open‑source tools, and secure a contingency fund of 5,000 as an estimate</w:t>
            </w:r>
          </w:p>
        </w:tc>
      </w:tr>
      <w:tr>
        <w:tc>
          <w:tcPr>
            <w:tcW w:type="dxa" w:w="1234"/>
            <w:shd w:val="clear" w:color="auto" w:fill="EEF2F7"/>
          </w:tcPr>
          <w:p>
            <w:r/>
            <w:r>
              <w:t>R2</w:t>
            </w:r>
          </w:p>
        </w:tc>
        <w:tc>
          <w:tcPr>
            <w:tcW w:type="dxa" w:w="1234"/>
            <w:shd w:val="clear" w:color="auto" w:fill="EEF2F7"/>
          </w:tcPr>
          <w:p>
            <w:r/>
            <w:r>
              <w:t>Data sync issues causing downtime during cutover</w:t>
            </w:r>
          </w:p>
        </w:tc>
        <w:tc>
          <w:tcPr>
            <w:tcW w:type="dxa" w:w="1234"/>
            <w:shd w:val="clear" w:color="auto" w:fill="EEF2F7"/>
          </w:tcPr>
          <w:p>
            <w:r/>
            <w:r>
              <w:t>High</w:t>
            </w:r>
          </w:p>
        </w:tc>
        <w:tc>
          <w:tcPr>
            <w:tcW w:type="dxa" w:w="1234"/>
            <w:shd w:val="clear" w:color="auto" w:fill="EEF2F7"/>
          </w:tcPr>
          <w:p>
            <w:r/>
            <w:r>
              <w:t>High</w:t>
            </w:r>
          </w:p>
        </w:tc>
        <w:tc>
          <w:tcPr>
            <w:tcW w:type="dxa" w:w="1234"/>
            <w:shd w:val="clear" w:color="auto" w:fill="EEF2F7"/>
          </w:tcPr>
          <w:p>
            <w:r/>
            <w:r>
              <w:t>20</w:t>
            </w:r>
          </w:p>
        </w:tc>
        <w:tc>
          <w:tcPr>
            <w:tcW w:type="dxa" w:w="1234"/>
            <w:shd w:val="clear" w:color="auto" w:fill="EEF2F7"/>
          </w:tcPr>
          <w:p>
            <w:r/>
            <w:r>
              <w:t>Data Engineering Lead</w:t>
            </w:r>
          </w:p>
        </w:tc>
        <w:tc>
          <w:tcPr>
            <w:tcW w:type="dxa" w:w="1234"/>
            <w:shd w:val="clear" w:color="auto" w:fill="EEF2F7"/>
          </w:tcPr>
          <w:p>
            <w:r/>
            <w:r>
              <w:t>Implement dual‑write replication and run a 2‑week shadow migration as a test</w:t>
            </w:r>
          </w:p>
        </w:tc>
      </w:tr>
      <w:tr>
        <w:tc>
          <w:tcPr>
            <w:tcW w:type="dxa" w:w="1234"/>
          </w:tcPr>
          <w:p>
            <w:r/>
            <w:r>
              <w:t>R3</w:t>
            </w:r>
          </w:p>
        </w:tc>
        <w:tc>
          <w:tcPr>
            <w:tcW w:type="dxa" w:w="1234"/>
          </w:tcPr>
          <w:p>
            <w:r/>
            <w:r>
              <w:t>Compliance gaps with data residency requirements</w:t>
            </w:r>
          </w:p>
        </w:tc>
        <w:tc>
          <w:tcPr>
            <w:tcW w:type="dxa" w:w="1234"/>
          </w:tcPr>
          <w:p>
            <w:r/>
            <w:r>
              <w:t>Medium</w:t>
            </w:r>
          </w:p>
        </w:tc>
        <w:tc>
          <w:tcPr>
            <w:tcW w:type="dxa" w:w="1234"/>
          </w:tcPr>
          <w:p>
            <w:r/>
            <w:r>
              <w:t>Medium</w:t>
            </w:r>
          </w:p>
        </w:tc>
        <w:tc>
          <w:tcPr>
            <w:tcW w:type="dxa" w:w="1234"/>
          </w:tcPr>
          <w:p>
            <w:r/>
            <w:r>
              <w:t>9</w:t>
            </w:r>
          </w:p>
        </w:tc>
        <w:tc>
          <w:tcPr>
            <w:tcW w:type="dxa" w:w="1234"/>
          </w:tcPr>
          <w:p>
            <w:r/>
            <w:r>
              <w:t>Compliance Officer</w:t>
            </w:r>
          </w:p>
        </w:tc>
        <w:tc>
          <w:tcPr>
            <w:tcW w:type="dxa" w:w="1234"/>
          </w:tcPr>
          <w:p>
            <w:r/>
            <w:r>
              <w:t>Conduct a compliance checklist early and select a cloud region that meets standards; allocate 1,000 for third‑party audit</w:t>
            </w:r>
          </w:p>
        </w:tc>
      </w:tr>
      <w:tr>
        <w:tc>
          <w:tcPr>
            <w:tcW w:type="dxa" w:w="1234"/>
            <w:shd w:val="clear" w:color="auto" w:fill="EEF2F7"/>
          </w:tcPr>
          <w:p>
            <w:r/>
            <w:r>
              <w:t>R4</w:t>
            </w:r>
          </w:p>
        </w:tc>
        <w:tc>
          <w:tcPr>
            <w:tcW w:type="dxa" w:w="1234"/>
            <w:shd w:val="clear" w:color="auto" w:fill="EEF2F7"/>
          </w:tcPr>
          <w:p>
            <w:r/>
            <w:r>
              <w:t>Resource constraints: limited cloud‑savvy staff</w:t>
            </w:r>
          </w:p>
        </w:tc>
        <w:tc>
          <w:tcPr>
            <w:tcW w:type="dxa" w:w="1234"/>
            <w:shd w:val="clear" w:color="auto" w:fill="EEF2F7"/>
          </w:tcPr>
          <w:p>
            <w:r/>
            <w:r>
              <w:t>High</w:t>
            </w:r>
          </w:p>
        </w:tc>
        <w:tc>
          <w:tcPr>
            <w:tcW w:type="dxa" w:w="1234"/>
            <w:shd w:val="clear" w:color="auto" w:fill="EEF2F7"/>
          </w:tcPr>
          <w:p>
            <w:r/>
            <w:r>
              <w:t>Medium</w:t>
            </w:r>
          </w:p>
        </w:tc>
        <w:tc>
          <w:tcPr>
            <w:tcW w:type="dxa" w:w="1234"/>
            <w:shd w:val="clear" w:color="auto" w:fill="EEF2F7"/>
          </w:tcPr>
          <w:p>
            <w:r/>
            <w:r>
              <w:t>12</w:t>
            </w:r>
          </w:p>
        </w:tc>
        <w:tc>
          <w:tcPr>
            <w:tcW w:type="dxa" w:w="1234"/>
            <w:shd w:val="clear" w:color="auto" w:fill="EEF2F7"/>
          </w:tcPr>
          <w:p>
            <w:r/>
            <w:r>
              <w:t>Project Manager</w:t>
            </w:r>
          </w:p>
        </w:tc>
        <w:tc>
          <w:tcPr>
            <w:tcW w:type="dxa" w:w="1234"/>
            <w:shd w:val="clear" w:color="auto" w:fill="EEF2F7"/>
          </w:tcPr>
          <w:p>
            <w:r/>
            <w:r>
              <w:t>Engage a 2‑month contract cloud consultant (estimated cost 8,000) and cross‑train existing engineers</w:t>
            </w:r>
          </w:p>
        </w:tc>
      </w:tr>
      <w:tr>
        <w:tc>
          <w:tcPr>
            <w:tcW w:type="dxa" w:w="1234"/>
          </w:tcPr>
          <w:p>
            <w:r/>
            <w:r>
              <w:t>R5</w:t>
            </w:r>
          </w:p>
        </w:tc>
        <w:tc>
          <w:tcPr>
            <w:tcW w:type="dxa" w:w="1234"/>
          </w:tcPr>
          <w:p>
            <w:r/>
            <w:r>
              <w:t>Integration failures with ERP and analytics systems</w:t>
            </w:r>
          </w:p>
        </w:tc>
        <w:tc>
          <w:tcPr>
            <w:tcW w:type="dxa" w:w="1234"/>
          </w:tcPr>
          <w:p>
            <w:r/>
            <w:r>
              <w:t>Low</w:t>
            </w:r>
          </w:p>
        </w:tc>
        <w:tc>
          <w:tcPr>
            <w:tcW w:type="dxa" w:w="1234"/>
          </w:tcPr>
          <w:p>
            <w:r/>
            <w:r>
              <w:t>High</w:t>
            </w:r>
          </w:p>
        </w:tc>
        <w:tc>
          <w:tcPr>
            <w:tcW w:type="dxa" w:w="1234"/>
          </w:tcPr>
          <w:p>
            <w:r/>
            <w:r>
              <w:t>9</w:t>
            </w:r>
          </w:p>
        </w:tc>
        <w:tc>
          <w:tcPr>
            <w:tcW w:type="dxa" w:w="1234"/>
          </w:tcPr>
          <w:p>
            <w:r/>
            <w:r>
              <w:t>Integration Lead</w:t>
            </w:r>
          </w:p>
        </w:tc>
        <w:tc>
          <w:tcPr>
            <w:tcW w:type="dxa" w:w="1234"/>
          </w:tcPr>
          <w:p>
            <w:r/>
            <w:r>
              <w:t>Use API gateway with versioned contracts and perform integration testing in a sandbox environment</w:t>
            </w:r>
          </w:p>
        </w:tc>
      </w:tr>
      <w:tr>
        <w:tc>
          <w:tcPr>
            <w:tcW w:type="dxa" w:w="1234"/>
            <w:shd w:val="clear" w:color="auto" w:fill="EEF2F7"/>
          </w:tcPr>
          <w:p>
            <w:r/>
            <w:r>
              <w:t>R6</w:t>
            </w:r>
          </w:p>
        </w:tc>
        <w:tc>
          <w:tcPr>
            <w:tcW w:type="dxa" w:w="1234"/>
            <w:shd w:val="clear" w:color="auto" w:fill="EEF2F7"/>
          </w:tcPr>
          <w:p>
            <w:r/>
            <w:r>
              <w:t>Unexpected licensing cost overruns</w:t>
            </w:r>
          </w:p>
        </w:tc>
        <w:tc>
          <w:tcPr>
            <w:tcW w:type="dxa" w:w="1234"/>
            <w:shd w:val="clear" w:color="auto" w:fill="EEF2F7"/>
          </w:tcPr>
          <w:p>
            <w:r/>
            <w:r>
              <w:t>Low</w:t>
            </w:r>
          </w:p>
        </w:tc>
        <w:tc>
          <w:tcPr>
            <w:tcW w:type="dxa" w:w="1234"/>
            <w:shd w:val="clear" w:color="auto" w:fill="EEF2F7"/>
          </w:tcPr>
          <w:p>
            <w:r/>
            <w:r>
              <w:t>Medium</w:t>
            </w:r>
          </w:p>
        </w:tc>
        <w:tc>
          <w:tcPr>
            <w:tcW w:type="dxa" w:w="1234"/>
            <w:shd w:val="clear" w:color="auto" w:fill="EEF2F7"/>
          </w:tcPr>
          <w:p>
            <w:r/>
            <w:r>
              <w:t>6</w:t>
            </w:r>
          </w:p>
        </w:tc>
        <w:tc>
          <w:tcPr>
            <w:tcW w:type="dxa" w:w="1234"/>
            <w:shd w:val="clear" w:color="auto" w:fill="EEF2F7"/>
          </w:tcPr>
          <w:p>
            <w:r/>
            <w:r>
              <w:t>Procurement Lead</w:t>
            </w:r>
          </w:p>
        </w:tc>
        <w:tc>
          <w:tcPr>
            <w:tcW w:type="dxa" w:w="1234"/>
            <w:shd w:val="clear" w:color="auto" w:fill="EEF2F7"/>
          </w:tcPr>
          <w:p>
            <w:r/>
            <w:r>
              <w:t>Negotiate usage‑based licensing and include a 10% buffer (estimated 2,500) in the budget</w:t>
            </w:r>
          </w:p>
        </w:tc>
      </w:tr>
    </w:tbl>
    <w:p/>
    <w:p>
      <w:r>
        <w:t>Mitigation strategies focus on early validation, leveraging existing staff, and maintaining a modest contingency reserve to address any unforeseen expenses while preserving the zero‑downtime objective.</w:t>
      </w:r>
    </w:p>
    <w:p>
      <w:pPr>
        <w:pStyle w:val="Heading1"/>
      </w:pPr>
      <w:r>
        <w:t>Assumptions, Open Questions &amp; Conflict Resolution</w:t>
      </w:r>
    </w:p>
    <w:p>
      <w:r>
        <w:t>This document was produced from an incomplete brief. The items below record what was assumed and what should be confirmed before the document is finalised.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
              <w:rPr>
                <w:b/>
                <w:color w:val="FFFFFF"/>
              </w:rPr>
              <w:t>#</w:t>
            </w:r>
          </w:p>
        </w:tc>
        <w:tc>
          <w:tcPr>
            <w:tcW w:type="dxa" w:w="4320"/>
            <w:shd w:val="clear" w:color="auto" w:fill="1F3A5F"/>
          </w:tcPr>
          <w:p>
            <w:r/>
            <w:r>
              <w:rPr>
                <w:b/>
                <w:color w:val="FFFFFF"/>
              </w:rPr>
              <w:t>Assumption made</w:t>
            </w:r>
          </w:p>
        </w:tc>
      </w:tr>
      <w:tr>
        <w:tc>
          <w:tcPr>
            <w:tcW w:type="dxa" w:w="4320"/>
          </w:tcPr>
          <w:p>
            <w:r/>
            <w:r>
              <w:t>1</w:t>
            </w:r>
          </w:p>
        </w:tc>
        <w:tc>
          <w:tcPr>
            <w:tcW w:type="dxa" w:w="4320"/>
          </w:tcPr>
          <w:p>
            <w:r/>
            <w:r>
              <w:t>Number of users to be confirmed by requester; plan will use a scalable licensing model</w:t>
            </w:r>
          </w:p>
        </w:tc>
      </w:tr>
      <w:tr>
        <w:tc>
          <w:tcPr>
            <w:tcW w:type="dxa" w:w="4320"/>
            <w:shd w:val="clear" w:color="auto" w:fill="EEF2F7"/>
          </w:tcPr>
          <w:p>
            <w:r/>
            <w:r>
              <w:t>2</w:t>
            </w:r>
          </w:p>
        </w:tc>
        <w:tc>
          <w:tcPr>
            <w:tcW w:type="dxa" w:w="4320"/>
            <w:shd w:val="clear" w:color="auto" w:fill="EEF2F7"/>
          </w:tcPr>
          <w:p>
            <w:r/>
            <w:r>
              <w:t>Current CRM is a common enterprise solution (e.g., Salesforce, Microsoft Dynamics, or a custom app) and will be treated generically</w:t>
            </w:r>
          </w:p>
        </w:tc>
      </w:tr>
      <w:tr>
        <w:tc>
          <w:tcPr>
            <w:tcW w:type="dxa" w:w="4320"/>
          </w:tcPr>
          <w:p>
            <w:r/>
            <w:r>
              <w:t>3</w:t>
            </w:r>
          </w:p>
        </w:tc>
        <w:tc>
          <w:tcPr>
            <w:tcW w:type="dxa" w:w="4320"/>
          </w:tcPr>
          <w:p>
            <w:r/>
            <w:r>
              <w:t>Budget is limited; plan emphasizes cost‑effective, open‑source tools and existing staff effort</w:t>
            </w:r>
          </w:p>
        </w:tc>
      </w:tr>
      <w:tr>
        <w:tc>
          <w:tcPr>
            <w:tcW w:type="dxa" w:w="4320"/>
            <w:shd w:val="clear" w:color="auto" w:fill="EEF2F7"/>
          </w:tcPr>
          <w:p>
            <w:r/>
            <w:r>
              <w:t>4</w:t>
            </w:r>
          </w:p>
        </w:tc>
        <w:tc>
          <w:tcPr>
            <w:tcW w:type="dxa" w:w="4320"/>
            <w:shd w:val="clear" w:color="auto" w:fill="EEF2F7"/>
          </w:tcPr>
          <w:p>
            <w:r/>
            <w:r>
              <w:t>Target cloud provider not yet chosen; plan remains provider‑agnostic with options for major IaaS providers</w:t>
            </w:r>
          </w:p>
        </w:tc>
      </w:tr>
      <w:tr>
        <w:tc>
          <w:tcPr>
            <w:tcW w:type="dxa" w:w="4320"/>
          </w:tcPr>
          <w:p>
            <w:r/>
            <w:r>
              <w:t>5</w:t>
            </w:r>
          </w:p>
        </w:tc>
        <w:tc>
          <w:tcPr>
            <w:tcW w:type="dxa" w:w="4320"/>
          </w:tcPr>
          <w:p>
            <w:r/>
            <w:r>
              <w:t>Compliance requirements are standard industry regulations; plan includes generic security controls</w:t>
            </w:r>
          </w:p>
        </w:tc>
      </w:tr>
      <w:tr>
        <w:tc>
          <w:tcPr>
            <w:tcW w:type="dxa" w:w="4320"/>
            <w:shd w:val="clear" w:color="auto" w:fill="EEF2F7"/>
          </w:tcPr>
          <w:p>
            <w:r/>
            <w:r>
              <w:t>6</w:t>
            </w:r>
          </w:p>
        </w:tc>
        <w:tc>
          <w:tcPr>
            <w:tcW w:type="dxa" w:w="4320"/>
            <w:shd w:val="clear" w:color="auto" w:fill="EEF2F7"/>
          </w:tcPr>
          <w:p>
            <w:r/>
            <w:r>
              <w:t>Integrations are limited to typical systems (email, ERP, analytics) and will be addressed via API gateways</w:t>
            </w:r>
          </w:p>
        </w:tc>
      </w:tr>
      <w:tr>
        <w:tc>
          <w:tcPr>
            <w:tcW w:type="dxa" w:w="4320"/>
          </w:tcPr>
          <w:p>
            <w:r/>
            <w:r>
              <w:t>7</w:t>
            </w:r>
          </w:p>
        </w:tc>
        <w:tc>
          <w:tcPr>
            <w:tcW w:type="dxa" w:w="4320"/>
          </w:tcPr>
          <w:p>
            <w:r/>
            <w:r>
              <w:t>Internal team includes at least one cloud‑savvy engineer and a project manager; additional resources will be sourced as needed</w:t>
            </w:r>
          </w:p>
        </w:tc>
      </w:tr>
    </w:tbl>
    <w:p/>
    <w:p>
      <w:r>
        <w:t>Conflicting requirements identified:</w:t>
      </w:r>
    </w:p>
    <w:p>
      <w:pPr>
        <w:pStyle w:val="ListBullet"/>
      </w:pPr>
      <w:r>
        <w:t>Tight budget vs. aggressive 6‑week timeline with zero‑downtime requirement</w:t>
      </w:r>
    </w:p>
    <w:p>
      <w:r>
        <w:t>Open questions for the requester:</w:t>
      </w:r>
    </w:p>
    <w:p>
      <w:pPr>
        <w:pStyle w:val="ListNumber"/>
      </w:pPr>
      <w:r>
        <w:t>Please confirm: Exact number of CRM users</w:t>
      </w:r>
    </w:p>
    <w:p>
      <w:pPr>
        <w:pStyle w:val="ListNumber"/>
      </w:pPr>
      <w:r>
        <w:t>Please confirm: Current on‑premises CRM platform and version</w:t>
      </w:r>
    </w:p>
    <w:p>
      <w:pPr>
        <w:pStyle w:val="ListNumber"/>
      </w:pPr>
      <w:r>
        <w:t>Please confirm: Total budget amount allocated for the migration</w:t>
      </w:r>
    </w:p>
    <w:p>
      <w:pPr>
        <w:pStyle w:val="ListNumber"/>
      </w:pPr>
      <w:r>
        <w:t>Please confirm: Existing infrastructure details (servers, storage, network)</w:t>
      </w:r>
    </w:p>
    <w:p>
      <w:pPr>
        <w:pStyle w:val="ListNumber"/>
      </w:pPr>
      <w:r>
        <w:t>Please confirm: Target cloud provider or preferred cloud environment</w:t>
      </w:r>
    </w:p>
    <w:p>
      <w:pPr>
        <w:pStyle w:val="ListNumber"/>
      </w:pPr>
      <w:r>
        <w:t>Please confirm: Compliance or security requirements (e.g., GDPR, HIPAA)</w:t>
      </w:r>
    </w:p>
    <w:p>
      <w:pPr>
        <w:pStyle w:val="ListNumber"/>
      </w:pPr>
      <w:r>
        <w:t>Please confirm: Key integration points with other systems</w:t>
      </w:r>
    </w:p>
    <w:p>
      <w:pPr>
        <w:pStyle w:val="ListNumber"/>
      </w:pPr>
      <w:r>
        <w:t>Please confirm: Available internal resources and skill sets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CRM Cloud Migration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