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CRM Cloud Migration Plan</w:t>
      </w:r>
    </w:p>
    <w:p>
      <w:r>
        <w:rPr>
          <w:color w:val="595959"/>
          <w:sz w:val="26"/>
        </w:rPr>
        <w:t>Project Plan</w:t>
      </w:r>
    </w:p>
    <w:tbl>
      <w:tblPr>
        <w:tblStyle w:val="TableGrid"/>
        <w:tblW w:type="auto" w:w="0"/>
        <w:tblLook w:firstColumn="1" w:firstRow="1" w:lastColumn="0" w:lastRow="0" w:noHBand="0" w:noVBand="1" w:val="04A0"/>
      </w:tblPr>
      <w:tblGrid>
        <w:gridCol w:w="4320"/>
        <w:gridCol w:w="4320"/>
      </w:tblGrid>
      <w:tr>
        <w:tc>
          <w:tcPr>
            <w:tcW w:type="dxa" w:w="4320"/>
            <w:shd w:val="clear" w:color="auto" w:fill="EEF2F7"/>
          </w:tcPr>
          <w:p>
            <w:r/>
            <w:r>
              <w:rPr>
                <w:b/>
              </w:rPr>
              <w:t>Prepared for</w:t>
            </w:r>
          </w:p>
        </w:tc>
        <w:tc>
          <w:tcPr>
            <w:tcW w:type="dxa" w:w="4320"/>
          </w:tcPr>
          <w:p>
            <w:r>
              <w:t>Chief Technology Officer (CTO) and senior leadership</w:t>
            </w:r>
          </w:p>
        </w:tc>
      </w:tr>
      <w:tr>
        <w:tc>
          <w:tcPr>
            <w:tcW w:type="dxa" w:w="4320"/>
            <w:shd w:val="clear" w:color="auto" w:fill="EEF2F7"/>
          </w:tcPr>
          <w:p>
            <w:r/>
            <w:r>
              <w:rPr>
                <w:b/>
              </w:rPr>
              <w:t>Date</w:t>
            </w:r>
          </w:p>
        </w:tc>
        <w:tc>
          <w:tcPr>
            <w:tcW w:type="dxa" w:w="4320"/>
          </w:tcPr>
          <w:p>
            <w:r>
              <w:t>23 October 2026</w:t>
            </w:r>
          </w:p>
        </w:tc>
      </w:tr>
      <w:tr>
        <w:tc>
          <w:tcPr>
            <w:tcW w:type="dxa" w:w="4320"/>
            <w:shd w:val="clear" w:color="auto" w:fill="EEF2F7"/>
          </w:tcPr>
          <w:p>
            <w:r/>
            <w:r>
              <w:rPr>
                <w:b/>
              </w:rPr>
              <w:t>Prepared by</w:t>
            </w:r>
          </w:p>
        </w:tc>
        <w:tc>
          <w:tcPr>
            <w:tcW w:type="dxa" w:w="4320"/>
          </w:tcPr>
          <w:p>
            <w:r>
              <w:t>Autonomous Document Agent</w:t>
            </w:r>
          </w:p>
        </w:tc>
      </w:tr>
      <w:tr>
        <w:tc>
          <w:tcPr>
            <w:tcW w:type="dxa" w:w="4320"/>
            <w:shd w:val="clear" w:color="auto" w:fill="EEF2F7"/>
          </w:tcPr>
          <w:p>
            <w:r/>
            <w:r>
              <w:rPr>
                <w:b/>
              </w:rPr>
              <w:t>Reference</w:t>
            </w:r>
          </w:p>
        </w:tc>
        <w:tc>
          <w:tcPr>
            <w:tcW w:type="dxa" w:w="4320"/>
          </w:tcPr>
          <w:p>
            <w:r>
              <w:t>2d6773f029</w:t>
            </w:r>
          </w:p>
        </w:tc>
      </w:tr>
    </w:tbl>
    <w:p/>
    <w:p>
      <w:pPr>
        <w:pStyle w:val="Heading1"/>
      </w:pPr>
      <w:r>
        <w:t>Executive Summary</w:t>
      </w:r>
    </w:p>
    <w:p>
      <w:r>
        <w:t>The CRM Cloud Migration Plan outlines a realistic strategy to relocate the on‑premises CRM to a cloud environment within a six‑week window, adhering to a tight $75,000‑$100,000 budget while guaranteeing zero downtime for end‑users. The plan assumes 150‑250 active users, moderate data volume (&lt;5 TB), and uses a provider‑agnostic architecture with dual‑write replication to enable a seamless cut‑over. Key phases include discovery and planning, architecture design with a pilot migration, and full cut‑over with validation, each assigned to specific owners and deliverables.</w:t>
      </w:r>
    </w:p>
    <w:p>
      <w:pPr>
        <w:pStyle w:val="ListBullet"/>
      </w:pPr>
      <w:r>
        <w:t>Phase 1 (Weeks 1‑2): Confirm user count, inventory integrations, and define migration criteria</w:t>
      </w:r>
    </w:p>
    <w:p>
      <w:pPr>
        <w:pStyle w:val="ListBullet"/>
      </w:pPr>
      <w:r>
        <w:t>Phase 2 (Weeks 3‑4): Design provider‑agnostic solution, execute a zero‑downtime pilot for 10% of users</w:t>
      </w:r>
    </w:p>
    <w:p>
      <w:pPr>
        <w:pStyle w:val="ListBullet"/>
      </w:pPr>
      <w:r>
        <w:t>Phase 3 (Weeks 5‑6): Perform incremental sync, execute zero‑downtime cut‑over, and complete validation</w:t>
      </w:r>
    </w:p>
    <w:p>
      <w:pPr>
        <w:pStyle w:val="ListBullet"/>
      </w:pPr>
      <w:r>
        <w:t>Budget and resources are scoped to stay within $75‑$100 k, leveraging internal staff and limited consulting</w:t>
      </w:r>
    </w:p>
    <w:p>
      <w:pPr>
        <w:pStyle w:val="ListBullet"/>
      </w:pPr>
      <w:r>
        <w:t>Next step: Obtain confirmation of user count, CRM platform details, and preferred cloud provider to finalize sizing and scheduling</w:t>
      </w:r>
    </w:p>
    <w:p>
      <w:pPr>
        <w:pStyle w:val="Heading1"/>
      </w:pPr>
      <w:r>
        <w:t>Project Scope</w:t>
      </w:r>
    </w:p>
    <w:p>
      <w:pPr>
        <w:pStyle w:val="ListBullet"/>
      </w:pPr>
      <w:r>
        <w:t>In‑Scope Items</w:t>
      </w:r>
    </w:p>
    <w:p>
      <w:pPr>
        <w:pStyle w:val="ListBullet"/>
      </w:pPr>
      <w:r>
        <w:t>CRM data (all records, attachments, and audit logs)</w:t>
      </w:r>
    </w:p>
    <w:p>
      <w:pPr>
        <w:pStyle w:val="ListBullet"/>
      </w:pPr>
      <w:r>
        <w:t>System configurations (entity schemas, security roles, workflow rules)</w:t>
      </w:r>
    </w:p>
    <w:p>
      <w:pPr>
        <w:pStyle w:val="ListBullet"/>
      </w:pPr>
      <w:r>
        <w:t>Existing integrations (API endpoints, webhooks, third‑party connectors) – to be catalogued and re‑implemented post‑migration</w:t>
      </w:r>
    </w:p>
    <w:p>
      <w:pPr>
        <w:pStyle w:val="ListBullet"/>
      </w:pPr>
      <w:r>
        <w:t>User access and permissions (including group memberships and SSO settings)</w:t>
      </w:r>
    </w:p>
    <w:p>
      <w:pPr>
        <w:pStyle w:val="ListBullet"/>
      </w:pPr>
      <w:r>
        <w:t>Incremental data replication setup for zero‑downtime cut‑over</w:t>
      </w:r>
    </w:p>
    <w:p>
      <w:pPr>
        <w:pStyle w:val="ListBullet"/>
      </w:pPr>
      <w:r>
        <w:t>Out‑of‑Scope Items</w:t>
      </w:r>
    </w:p>
    <w:p>
      <w:pPr>
        <w:pStyle w:val="ListBullet"/>
      </w:pPr>
      <w:r>
        <w:t>Major custom code rewrites or redevelopment of bespoke modules</w:t>
      </w:r>
    </w:p>
    <w:p>
      <w:pPr>
        <w:pStyle w:val="ListBullet"/>
      </w:pPr>
      <w:r>
        <w:t>Replacement of core CRM platform (migration assumes functional parity with current on‑prem solution)</w:t>
      </w:r>
    </w:p>
    <w:p>
      <w:pPr>
        <w:pStyle w:val="ListBullet"/>
      </w:pPr>
      <w:r>
        <w:t>Long‑term post‑migration support beyond the 2‑week hyper‑care window</w:t>
      </w:r>
    </w:p>
    <w:p>
      <w:pPr>
        <w:pStyle w:val="ListBullet"/>
      </w:pPr>
      <w:r>
        <w:t>Deliverables</w:t>
      </w:r>
    </w:p>
    <w:p>
      <w:pPr>
        <w:pStyle w:val="ListBullet"/>
      </w:pPr>
      <w:r>
        <w:t>Detailed Migration Plan (including discovery findings, architecture diagrams, and pilot results)</w:t>
      </w:r>
    </w:p>
    <w:p>
      <w:pPr>
        <w:pStyle w:val="ListBullet"/>
      </w:pPr>
      <w:r>
        <w:t>Test Results Report (functional, performance, and security testing outcomes)</w:t>
      </w:r>
    </w:p>
    <w:p>
      <w:pPr>
        <w:pStyle w:val="ListBullet"/>
      </w:pPr>
      <w:r>
        <w:t>Cut‑over Checklist (step‑by‑step zero‑downtime switch, rollback procedures, and sign‑off criteria)</w:t>
      </w:r>
    </w:p>
    <w:p>
      <w:pPr>
        <w:pStyle w:val="ListBullet"/>
      </w:pPr>
      <w:r>
        <w:t>Migration Run‑books for Cloud Engineer and DevOps Engineer</w:t>
      </w:r>
    </w:p>
    <w:p>
      <w:pPr>
        <w:pStyle w:val="ListBullet"/>
      </w:pPr>
      <w:r>
        <w:t>Success Criteria</w:t>
      </w:r>
    </w:p>
    <w:p>
      <w:pPr>
        <w:pStyle w:val="ListBullet"/>
      </w:pPr>
      <w:r>
        <w:t>Zero downtime experienced by end‑users during the final cut‑over</w:t>
      </w:r>
    </w:p>
    <w:p>
      <w:pPr>
        <w:pStyle w:val="ListBullet"/>
      </w:pPr>
      <w:r>
        <w:t>Post‑migration performance equal to or better than baseline on‑prem metrics (response time &lt; 2 seconds for 95 % of transactions)</w:t>
      </w:r>
    </w:p>
    <w:p>
      <w:pPr>
        <w:pStyle w:val="ListBullet"/>
      </w:pPr>
      <w:r>
        <w:t>User Acceptance Testing sign‑off from at least 90 % of sampled users</w:t>
      </w:r>
    </w:p>
    <w:p>
      <w:pPr>
        <w:pStyle w:val="ListBullet"/>
      </w:pPr>
      <w:r>
        <w:t>All integrations functional with no data loss</w:t>
      </w:r>
    </w:p>
    <w:p>
      <w:pPr>
        <w:pStyle w:val="ListBullet"/>
      </w:pPr>
      <w:r>
        <w:t>Project completed within 6 weeks and total cost within the $75,000–$100,000 budget</w:t>
      </w:r>
    </w:p>
    <w:p>
      <w:pPr>
        <w:pStyle w:val="Heading1"/>
      </w:pPr>
      <w:r>
        <w:t>Timeline &amp; Milestones</w:t>
      </w:r>
    </w:p>
    <w:p>
      <w:r>
        <w:t>The following timeline outlines the key activities, responsible roles, and deliverables for each week of the six‑week CRM cloud migration.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A5F"/>
          </w:tcPr>
          <w:p>
            <w:r/>
            <w:r>
              <w:rPr>
                <w:b/>
                <w:color w:val="FFFFFF"/>
              </w:rPr>
              <w:t>Week</w:t>
            </w:r>
          </w:p>
        </w:tc>
        <w:tc>
          <w:tcPr>
            <w:tcW w:type="dxa" w:w="2160"/>
            <w:shd w:val="clear" w:color="auto" w:fill="1F3A5F"/>
          </w:tcPr>
          <w:p>
            <w:r/>
            <w:r>
              <w:rPr>
                <w:b/>
                <w:color w:val="FFFFFF"/>
              </w:rPr>
              <w:t>Activity</w:t>
            </w:r>
          </w:p>
        </w:tc>
        <w:tc>
          <w:tcPr>
            <w:tcW w:type="dxa" w:w="2160"/>
            <w:shd w:val="clear" w:color="auto" w:fill="1F3A5F"/>
          </w:tcPr>
          <w:p>
            <w:r/>
            <w:r>
              <w:rPr>
                <w:b/>
                <w:color w:val="FFFFFF"/>
              </w:rPr>
              <w:t>Owner(s)</w:t>
            </w:r>
          </w:p>
        </w:tc>
        <w:tc>
          <w:tcPr>
            <w:tcW w:type="dxa" w:w="2160"/>
            <w:shd w:val="clear" w:color="auto" w:fill="1F3A5F"/>
          </w:tcPr>
          <w:p>
            <w:r/>
            <w:r>
              <w:rPr>
                <w:b/>
                <w:color w:val="FFFFFF"/>
              </w:rPr>
              <w:t>Milestone/Deliverable</w:t>
            </w:r>
          </w:p>
        </w:tc>
      </w:tr>
      <w:tr>
        <w:tc>
          <w:tcPr>
            <w:tcW w:type="dxa" w:w="2160"/>
          </w:tcPr>
          <w:p>
            <w:r/>
            <w:r>
              <w:t>Week 1-2</w:t>
            </w:r>
          </w:p>
        </w:tc>
        <w:tc>
          <w:tcPr>
            <w:tcW w:type="dxa" w:w="2160"/>
          </w:tcPr>
          <w:p>
            <w:r/>
            <w:r>
              <w:t>Discovery &amp; Planning: confirm user count, inventory integrations, assess data volume, define migration criteria</w:t>
            </w:r>
          </w:p>
        </w:tc>
        <w:tc>
          <w:tcPr>
            <w:tcW w:type="dxa" w:w="2160"/>
          </w:tcPr>
          <w:p>
            <w:r/>
            <w:r>
              <w:t>Project Manager</w:t>
              <w:br/>
              <w:t>Business Analyst</w:t>
            </w:r>
          </w:p>
        </w:tc>
        <w:tc>
          <w:tcPr>
            <w:tcW w:type="dxa" w:w="2160"/>
          </w:tcPr>
          <w:p>
            <w:r/>
            <w:r>
              <w:t>User count validated, integration inventory documented, migration charter approved</w:t>
            </w:r>
          </w:p>
        </w:tc>
      </w:tr>
      <w:tr>
        <w:tc>
          <w:tcPr>
            <w:tcW w:type="dxa" w:w="2160"/>
            <w:shd w:val="clear" w:color="auto" w:fill="EEF2F7"/>
          </w:tcPr>
          <w:p>
            <w:r/>
            <w:r>
              <w:t>Week 3-4</w:t>
            </w:r>
          </w:p>
        </w:tc>
        <w:tc>
          <w:tcPr>
            <w:tcW w:type="dxa" w:w="2160"/>
            <w:shd w:val="clear" w:color="auto" w:fill="EEF2F7"/>
          </w:tcPr>
          <w:p>
            <w:r/>
            <w:r>
              <w:t>Architecture Design &amp; Pilot Migration: create provider‑agnostic architecture, set up dual‑write replication, execute pilot for 10% of users</w:t>
            </w:r>
          </w:p>
        </w:tc>
        <w:tc>
          <w:tcPr>
            <w:tcW w:type="dxa" w:w="2160"/>
            <w:shd w:val="clear" w:color="auto" w:fill="EEF2F7"/>
          </w:tcPr>
          <w:p>
            <w:r/>
            <w:r>
              <w:t>Solution Architect</w:t>
              <w:br/>
              <w:t>Cloud Engineer</w:t>
            </w:r>
          </w:p>
        </w:tc>
        <w:tc>
          <w:tcPr>
            <w:tcW w:type="dxa" w:w="2160"/>
            <w:shd w:val="clear" w:color="auto" w:fill="EEF2F7"/>
          </w:tcPr>
          <w:p>
            <w:r/>
            <w:r>
              <w:t>Architecture blueprint completed, pilot environment operational, pilot validation report with zero‑downtime confirmation</w:t>
            </w:r>
          </w:p>
        </w:tc>
      </w:tr>
      <w:tr>
        <w:tc>
          <w:tcPr>
            <w:tcW w:type="dxa" w:w="2160"/>
          </w:tcPr>
          <w:p>
            <w:r/>
            <w:r>
              <w:t>Week 5</w:t>
            </w:r>
          </w:p>
        </w:tc>
        <w:tc>
          <w:tcPr>
            <w:tcW w:type="dxa" w:w="2160"/>
          </w:tcPr>
          <w:p>
            <w:r/>
            <w:r>
              <w:t>Incremental Data Sync &amp; Cut‑over Preparation: enable continuous data replication, perform performance testing, finalize cut‑over checklist</w:t>
            </w:r>
          </w:p>
        </w:tc>
        <w:tc>
          <w:tcPr>
            <w:tcW w:type="dxa" w:w="2160"/>
          </w:tcPr>
          <w:p>
            <w:r/>
            <w:r>
              <w:t>DevOps Engineer</w:t>
              <w:br/>
              <w:t>Data Engineer</w:t>
            </w:r>
          </w:p>
        </w:tc>
        <w:tc>
          <w:tcPr>
            <w:tcW w:type="dxa" w:w="2160"/>
          </w:tcPr>
          <w:p>
            <w:r/>
            <w:r>
              <w:t>Incremental sync latency &lt; 5 seconds, cut‑over checklist signed off</w:t>
            </w:r>
          </w:p>
        </w:tc>
      </w:tr>
      <w:tr>
        <w:tc>
          <w:tcPr>
            <w:tcW w:type="dxa" w:w="2160"/>
            <w:shd w:val="clear" w:color="auto" w:fill="EEF2F7"/>
          </w:tcPr>
          <w:p>
            <w:r/>
            <w:r>
              <w:t>Week 6</w:t>
            </w:r>
          </w:p>
        </w:tc>
        <w:tc>
          <w:tcPr>
            <w:tcW w:type="dxa" w:w="2160"/>
            <w:shd w:val="clear" w:color="auto" w:fill="EEF2F7"/>
          </w:tcPr>
          <w:p>
            <w:r/>
            <w:r>
              <w:t>Full Cut‑over &amp; Validation: switch production traffic to cloud instance, conduct functional and performance testing, obtain user acceptance</w:t>
            </w:r>
          </w:p>
        </w:tc>
        <w:tc>
          <w:tcPr>
            <w:tcW w:type="dxa" w:w="2160"/>
            <w:shd w:val="clear" w:color="auto" w:fill="EEF2F7"/>
          </w:tcPr>
          <w:p>
            <w:r/>
            <w:r>
              <w:t>DevOps Engineer</w:t>
              <w:br/>
              <w:t>QA Engineer</w:t>
            </w:r>
          </w:p>
        </w:tc>
        <w:tc>
          <w:tcPr>
            <w:tcW w:type="dxa" w:w="2160"/>
            <w:shd w:val="clear" w:color="auto" w:fill="EEF2F7"/>
          </w:tcPr>
          <w:p>
            <w:r/>
            <w:r>
              <w:t>Zero‑downtime cut‑over executed, validation sign‑off, migration closure report</w:t>
            </w:r>
          </w:p>
        </w:tc>
      </w:tr>
    </w:tbl>
    <w:p/>
    <w:p>
      <w:pPr>
        <w:pStyle w:val="Heading1"/>
      </w:pPr>
      <w:r>
        <w:t>Resource &amp; Cost Estimate</w:t>
      </w:r>
    </w:p>
    <w:p>
      <w:r>
        <w:t>Estimated delivery cost: USD 48,530 (labour USD 33,400 for 49 person-days, non-labour USD 8,800, plus 15% contingency).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3A5F"/>
          </w:tcPr>
          <w:p>
            <w:r/>
            <w:r>
              <w:rPr>
                <w:b/>
                <w:color w:val="FFFFFF"/>
              </w:rPr>
              <w:t>Item</w:t>
            </w:r>
          </w:p>
        </w:tc>
        <w:tc>
          <w:tcPr>
            <w:tcW w:type="dxa" w:w="1728"/>
            <w:shd w:val="clear" w:color="auto" w:fill="1F3A5F"/>
          </w:tcPr>
          <w:p>
            <w:r/>
            <w:r>
              <w:rPr>
                <w:b/>
                <w:color w:val="FFFFFF"/>
              </w:rPr>
              <w:t>Activity</w:t>
            </w:r>
          </w:p>
        </w:tc>
        <w:tc>
          <w:tcPr>
            <w:tcW w:type="dxa" w:w="1728"/>
            <w:shd w:val="clear" w:color="auto" w:fill="1F3A5F"/>
          </w:tcPr>
          <w:p>
            <w:r/>
            <w:r>
              <w:rPr>
                <w:b/>
                <w:color w:val="FFFFFF"/>
              </w:rPr>
              <w:t>Quantity</w:t>
            </w:r>
          </w:p>
        </w:tc>
        <w:tc>
          <w:tcPr>
            <w:tcW w:type="dxa" w:w="1728"/>
            <w:shd w:val="clear" w:color="auto" w:fill="1F3A5F"/>
          </w:tcPr>
          <w:p>
            <w:r/>
            <w:r>
              <w:rPr>
                <w:b/>
                <w:color w:val="FFFFFF"/>
              </w:rPr>
              <w:t>Unit rate</w:t>
            </w:r>
          </w:p>
        </w:tc>
        <w:tc>
          <w:tcPr>
            <w:tcW w:type="dxa" w:w="1728"/>
            <w:shd w:val="clear" w:color="auto" w:fill="1F3A5F"/>
          </w:tcPr>
          <w:p>
            <w:r/>
            <w:r>
              <w:rPr>
                <w:b/>
                <w:color w:val="FFFFFF"/>
              </w:rPr>
              <w:t>Cost</w:t>
            </w:r>
          </w:p>
        </w:tc>
      </w:tr>
      <w:tr>
        <w:tc>
          <w:tcPr>
            <w:tcW w:type="dxa" w:w="1728"/>
          </w:tcPr>
          <w:p>
            <w:r/>
            <w:r>
              <w:t>Project Manager</w:t>
            </w:r>
          </w:p>
        </w:tc>
        <w:tc>
          <w:tcPr>
            <w:tcW w:type="dxa" w:w="1728"/>
          </w:tcPr>
          <w:p>
            <w:r/>
            <w:r>
              <w:t>Overall coordination, schedule tracking, stakeholder communication</w:t>
            </w:r>
          </w:p>
        </w:tc>
        <w:tc>
          <w:tcPr>
            <w:tcW w:type="dxa" w:w="1728"/>
          </w:tcPr>
          <w:p>
            <w:r/>
            <w:r>
              <w:t>12 days</w:t>
            </w:r>
          </w:p>
        </w:tc>
        <w:tc>
          <w:tcPr>
            <w:tcW w:type="dxa" w:w="1728"/>
          </w:tcPr>
          <w:p>
            <w:r/>
            <w:r>
              <w:t>USD 600</w:t>
            </w:r>
          </w:p>
        </w:tc>
        <w:tc>
          <w:tcPr>
            <w:tcW w:type="dxa" w:w="1728"/>
          </w:tcPr>
          <w:p>
            <w:r/>
            <w:r>
              <w:t>USD 7,200</w:t>
            </w:r>
          </w:p>
        </w:tc>
      </w:tr>
      <w:tr>
        <w:tc>
          <w:tcPr>
            <w:tcW w:type="dxa" w:w="1728"/>
            <w:shd w:val="clear" w:color="auto" w:fill="EEF2F7"/>
          </w:tcPr>
          <w:p>
            <w:r/>
            <w:r>
              <w:t>Business Analyst</w:t>
            </w:r>
          </w:p>
        </w:tc>
        <w:tc>
          <w:tcPr>
            <w:tcW w:type="dxa" w:w="1728"/>
            <w:shd w:val="clear" w:color="auto" w:fill="EEF2F7"/>
          </w:tcPr>
          <w:p>
            <w:r/>
            <w:r>
              <w:t>Discovery, user count validation, integration inventory</w:t>
            </w:r>
          </w:p>
        </w:tc>
        <w:tc>
          <w:tcPr>
            <w:tcW w:type="dxa" w:w="1728"/>
            <w:shd w:val="clear" w:color="auto" w:fill="EEF2F7"/>
          </w:tcPr>
          <w:p>
            <w:r/>
            <w:r>
              <w:t>8 days</w:t>
            </w:r>
          </w:p>
        </w:tc>
        <w:tc>
          <w:tcPr>
            <w:tcW w:type="dxa" w:w="1728"/>
            <w:shd w:val="clear" w:color="auto" w:fill="EEF2F7"/>
          </w:tcPr>
          <w:p>
            <w:r/>
            <w:r>
              <w:t>USD 550</w:t>
            </w:r>
          </w:p>
        </w:tc>
        <w:tc>
          <w:tcPr>
            <w:tcW w:type="dxa" w:w="1728"/>
            <w:shd w:val="clear" w:color="auto" w:fill="EEF2F7"/>
          </w:tcPr>
          <w:p>
            <w:r/>
            <w:r>
              <w:t>USD 4,400</w:t>
            </w:r>
          </w:p>
        </w:tc>
      </w:tr>
      <w:tr>
        <w:tc>
          <w:tcPr>
            <w:tcW w:type="dxa" w:w="1728"/>
          </w:tcPr>
          <w:p>
            <w:r/>
            <w:r>
              <w:t>Solution Architect</w:t>
            </w:r>
          </w:p>
        </w:tc>
        <w:tc>
          <w:tcPr>
            <w:tcW w:type="dxa" w:w="1728"/>
          </w:tcPr>
          <w:p>
            <w:r/>
            <w:r>
              <w:t>Design provider‑agnostic architecture, pilot plan</w:t>
            </w:r>
          </w:p>
        </w:tc>
        <w:tc>
          <w:tcPr>
            <w:tcW w:type="dxa" w:w="1728"/>
          </w:tcPr>
          <w:p>
            <w:r/>
            <w:r>
              <w:t>6 days</w:t>
            </w:r>
          </w:p>
        </w:tc>
        <w:tc>
          <w:tcPr>
            <w:tcW w:type="dxa" w:w="1728"/>
          </w:tcPr>
          <w:p>
            <w:r/>
            <w:r>
              <w:t>USD 900</w:t>
            </w:r>
          </w:p>
        </w:tc>
        <w:tc>
          <w:tcPr>
            <w:tcW w:type="dxa" w:w="1728"/>
          </w:tcPr>
          <w:p>
            <w:r/>
            <w:r>
              <w:t>USD 5,400</w:t>
            </w:r>
          </w:p>
        </w:tc>
      </w:tr>
      <w:tr>
        <w:tc>
          <w:tcPr>
            <w:tcW w:type="dxa" w:w="1728"/>
            <w:shd w:val="clear" w:color="auto" w:fill="EEF2F7"/>
          </w:tcPr>
          <w:p>
            <w:r/>
            <w:r>
              <w:t>Cloud Engineer</w:t>
            </w:r>
          </w:p>
        </w:tc>
        <w:tc>
          <w:tcPr>
            <w:tcW w:type="dxa" w:w="1728"/>
            <w:shd w:val="clear" w:color="auto" w:fill="EEF2F7"/>
          </w:tcPr>
          <w:p>
            <w:r/>
            <w:r>
              <w:t>Provision cloud resources, execute pilot migration</w:t>
            </w:r>
          </w:p>
        </w:tc>
        <w:tc>
          <w:tcPr>
            <w:tcW w:type="dxa" w:w="1728"/>
            <w:shd w:val="clear" w:color="auto" w:fill="EEF2F7"/>
          </w:tcPr>
          <w:p>
            <w:r/>
            <w:r>
              <w:t>8 days</w:t>
            </w:r>
          </w:p>
        </w:tc>
        <w:tc>
          <w:tcPr>
            <w:tcW w:type="dxa" w:w="1728"/>
            <w:shd w:val="clear" w:color="auto" w:fill="EEF2F7"/>
          </w:tcPr>
          <w:p>
            <w:r/>
            <w:r>
              <w:t>USD 750</w:t>
            </w:r>
          </w:p>
        </w:tc>
        <w:tc>
          <w:tcPr>
            <w:tcW w:type="dxa" w:w="1728"/>
            <w:shd w:val="clear" w:color="auto" w:fill="EEF2F7"/>
          </w:tcPr>
          <w:p>
            <w:r/>
            <w:r>
              <w:t>USD 6,000</w:t>
            </w:r>
          </w:p>
        </w:tc>
      </w:tr>
      <w:tr>
        <w:tc>
          <w:tcPr>
            <w:tcW w:type="dxa" w:w="1728"/>
          </w:tcPr>
          <w:p>
            <w:r/>
            <w:r>
              <w:t>DevOps Engineer</w:t>
            </w:r>
          </w:p>
        </w:tc>
        <w:tc>
          <w:tcPr>
            <w:tcW w:type="dxa" w:w="1728"/>
          </w:tcPr>
          <w:p>
            <w:r/>
            <w:r>
              <w:t>Implement dual‑write replication, cut‑over automation</w:t>
            </w:r>
          </w:p>
        </w:tc>
        <w:tc>
          <w:tcPr>
            <w:tcW w:type="dxa" w:w="1728"/>
          </w:tcPr>
          <w:p>
            <w:r/>
            <w:r>
              <w:t>6 days</w:t>
            </w:r>
          </w:p>
        </w:tc>
        <w:tc>
          <w:tcPr>
            <w:tcW w:type="dxa" w:w="1728"/>
          </w:tcPr>
          <w:p>
            <w:r/>
            <w:r>
              <w:t>USD 750</w:t>
            </w:r>
          </w:p>
        </w:tc>
        <w:tc>
          <w:tcPr>
            <w:tcW w:type="dxa" w:w="1728"/>
          </w:tcPr>
          <w:p>
            <w:r/>
            <w:r>
              <w:t>USD 4,500</w:t>
            </w:r>
          </w:p>
        </w:tc>
      </w:tr>
      <w:tr>
        <w:tc>
          <w:tcPr>
            <w:tcW w:type="dxa" w:w="1728"/>
            <w:shd w:val="clear" w:color="auto" w:fill="EEF2F7"/>
          </w:tcPr>
          <w:p>
            <w:r/>
            <w:r>
              <w:t>QA Engineer</w:t>
            </w:r>
          </w:p>
        </w:tc>
        <w:tc>
          <w:tcPr>
            <w:tcW w:type="dxa" w:w="1728"/>
            <w:shd w:val="clear" w:color="auto" w:fill="EEF2F7"/>
          </w:tcPr>
          <w:p>
            <w:r/>
            <w:r>
              <w:t>Validate data integrity, performance, zero‑downtime testing</w:t>
            </w:r>
          </w:p>
        </w:tc>
        <w:tc>
          <w:tcPr>
            <w:tcW w:type="dxa" w:w="1728"/>
            <w:shd w:val="clear" w:color="auto" w:fill="EEF2F7"/>
          </w:tcPr>
          <w:p>
            <w:r/>
            <w:r>
              <w:t>5 days</w:t>
            </w:r>
          </w:p>
        </w:tc>
        <w:tc>
          <w:tcPr>
            <w:tcW w:type="dxa" w:w="1728"/>
            <w:shd w:val="clear" w:color="auto" w:fill="EEF2F7"/>
          </w:tcPr>
          <w:p>
            <w:r/>
            <w:r>
              <w:t>USD 500</w:t>
            </w:r>
          </w:p>
        </w:tc>
        <w:tc>
          <w:tcPr>
            <w:tcW w:type="dxa" w:w="1728"/>
            <w:shd w:val="clear" w:color="auto" w:fill="EEF2F7"/>
          </w:tcPr>
          <w:p>
            <w:r/>
            <w:r>
              <w:t>USD 2,500</w:t>
            </w:r>
          </w:p>
        </w:tc>
      </w:tr>
      <w:tr>
        <w:tc>
          <w:tcPr>
            <w:tcW w:type="dxa" w:w="1728"/>
          </w:tcPr>
          <w:p>
            <w:r/>
            <w:r>
              <w:t>Security Specialist</w:t>
            </w:r>
          </w:p>
        </w:tc>
        <w:tc>
          <w:tcPr>
            <w:tcW w:type="dxa" w:w="1728"/>
          </w:tcPr>
          <w:p>
            <w:r/>
            <w:r>
              <w:t>Review GDPR controls, secure data transfer design</w:t>
            </w:r>
          </w:p>
        </w:tc>
        <w:tc>
          <w:tcPr>
            <w:tcW w:type="dxa" w:w="1728"/>
          </w:tcPr>
          <w:p>
            <w:r/>
            <w:r>
              <w:t>4 days</w:t>
            </w:r>
          </w:p>
        </w:tc>
        <w:tc>
          <w:tcPr>
            <w:tcW w:type="dxa" w:w="1728"/>
          </w:tcPr>
          <w:p>
            <w:r/>
            <w:r>
              <w:t>USD 850</w:t>
            </w:r>
          </w:p>
        </w:tc>
        <w:tc>
          <w:tcPr>
            <w:tcW w:type="dxa" w:w="1728"/>
          </w:tcPr>
          <w:p>
            <w:r/>
            <w:r>
              <w:t>USD 3,400</w:t>
            </w:r>
          </w:p>
        </w:tc>
      </w:tr>
      <w:tr>
        <w:tc>
          <w:tcPr>
            <w:tcW w:type="dxa" w:w="1728"/>
            <w:shd w:val="clear" w:color="auto" w:fill="EEF2F7"/>
          </w:tcPr>
          <w:p>
            <w:r/>
            <w:r>
              <w:t>Migration tooling licence (per month)</w:t>
            </w:r>
          </w:p>
        </w:tc>
        <w:tc>
          <w:tcPr>
            <w:tcW w:type="dxa" w:w="1728"/>
            <w:shd w:val="clear" w:color="auto" w:fill="EEF2F7"/>
          </w:tcPr>
          <w:p>
            <w:r/>
            <w:r>
              <w:t>Non-labour</w:t>
            </w:r>
          </w:p>
        </w:tc>
        <w:tc>
          <w:tcPr>
            <w:tcW w:type="dxa" w:w="1728"/>
            <w:shd w:val="clear" w:color="auto" w:fill="EEF2F7"/>
          </w:tcPr>
          <w:p>
            <w:r/>
            <w:r>
              <w:t>x 1</w:t>
            </w:r>
          </w:p>
        </w:tc>
        <w:tc>
          <w:tcPr>
            <w:tcW w:type="dxa" w:w="1728"/>
            <w:shd w:val="clear" w:color="auto" w:fill="EEF2F7"/>
          </w:tcPr>
          <w:p>
            <w:r/>
            <w:r>
              <w:t>USD 1,500</w:t>
            </w:r>
          </w:p>
        </w:tc>
        <w:tc>
          <w:tcPr>
            <w:tcW w:type="dxa" w:w="1728"/>
            <w:shd w:val="clear" w:color="auto" w:fill="EEF2F7"/>
          </w:tcPr>
          <w:p>
            <w:r/>
            <w:r>
              <w:t>USD 1,500</w:t>
            </w:r>
          </w:p>
        </w:tc>
      </w:tr>
      <w:tr>
        <w:tc>
          <w:tcPr>
            <w:tcW w:type="dxa" w:w="1728"/>
          </w:tcPr>
          <w:p>
            <w:r/>
            <w:r>
              <w:t>Cloud infrastructure during parallel run (per month)</w:t>
            </w:r>
          </w:p>
        </w:tc>
        <w:tc>
          <w:tcPr>
            <w:tcW w:type="dxa" w:w="1728"/>
          </w:tcPr>
          <w:p>
            <w:r/>
            <w:r>
              <w:t>Non-labour</w:t>
            </w:r>
          </w:p>
        </w:tc>
        <w:tc>
          <w:tcPr>
            <w:tcW w:type="dxa" w:w="1728"/>
          </w:tcPr>
          <w:p>
            <w:r/>
            <w:r>
              <w:t>x 1</w:t>
            </w:r>
          </w:p>
        </w:tc>
        <w:tc>
          <w:tcPr>
            <w:tcW w:type="dxa" w:w="1728"/>
          </w:tcPr>
          <w:p>
            <w:r/>
            <w:r>
              <w:t>USD 2,500</w:t>
            </w:r>
          </w:p>
        </w:tc>
        <w:tc>
          <w:tcPr>
            <w:tcW w:type="dxa" w:w="1728"/>
          </w:tcPr>
          <w:p>
            <w:r/>
            <w:r>
              <w:t>USD 2,500</w:t>
            </w:r>
          </w:p>
        </w:tc>
      </w:tr>
      <w:tr>
        <w:tc>
          <w:tcPr>
            <w:tcW w:type="dxa" w:w="1728"/>
            <w:shd w:val="clear" w:color="auto" w:fill="EEF2F7"/>
          </w:tcPr>
          <w:p>
            <w:r/>
            <w:r>
              <w:t>Temporary network bandwidth upgrade (per month)</w:t>
            </w:r>
          </w:p>
        </w:tc>
        <w:tc>
          <w:tcPr>
            <w:tcW w:type="dxa" w:w="1728"/>
            <w:shd w:val="clear" w:color="auto" w:fill="EEF2F7"/>
          </w:tcPr>
          <w:p>
            <w:r/>
            <w:r>
              <w:t>Non-labour</w:t>
            </w:r>
          </w:p>
        </w:tc>
        <w:tc>
          <w:tcPr>
            <w:tcW w:type="dxa" w:w="1728"/>
            <w:shd w:val="clear" w:color="auto" w:fill="EEF2F7"/>
          </w:tcPr>
          <w:p>
            <w:r/>
            <w:r>
              <w:t>x 1</w:t>
            </w:r>
          </w:p>
        </w:tc>
        <w:tc>
          <w:tcPr>
            <w:tcW w:type="dxa" w:w="1728"/>
            <w:shd w:val="clear" w:color="auto" w:fill="EEF2F7"/>
          </w:tcPr>
          <w:p>
            <w:r/>
            <w:r>
              <w:t>USD 800</w:t>
            </w:r>
          </w:p>
        </w:tc>
        <w:tc>
          <w:tcPr>
            <w:tcW w:type="dxa" w:w="1728"/>
            <w:shd w:val="clear" w:color="auto" w:fill="EEF2F7"/>
          </w:tcPr>
          <w:p>
            <w:r/>
            <w:r>
              <w:t>USD 800</w:t>
            </w:r>
          </w:p>
        </w:tc>
      </w:tr>
      <w:tr>
        <w:tc>
          <w:tcPr>
            <w:tcW w:type="dxa" w:w="1728"/>
          </w:tcPr>
          <w:p>
            <w:r/>
            <w:r>
              <w:t>External security review (fixed)</w:t>
            </w:r>
          </w:p>
        </w:tc>
        <w:tc>
          <w:tcPr>
            <w:tcW w:type="dxa" w:w="1728"/>
          </w:tcPr>
          <w:p>
            <w:r/>
            <w:r>
              <w:t>Non-labour</w:t>
            </w:r>
          </w:p>
        </w:tc>
        <w:tc>
          <w:tcPr>
            <w:tcW w:type="dxa" w:w="1728"/>
          </w:tcPr>
          <w:p>
            <w:r/>
            <w:r>
              <w:t>x 1</w:t>
            </w:r>
          </w:p>
        </w:tc>
        <w:tc>
          <w:tcPr>
            <w:tcW w:type="dxa" w:w="1728"/>
          </w:tcPr>
          <w:p>
            <w:r/>
            <w:r>
              <w:t>USD 4,000</w:t>
            </w:r>
          </w:p>
        </w:tc>
        <w:tc>
          <w:tcPr>
            <w:tcW w:type="dxa" w:w="1728"/>
          </w:tcPr>
          <w:p>
            <w:r/>
            <w:r>
              <w:t>USD 4,000</w:t>
            </w:r>
          </w:p>
        </w:tc>
      </w:tr>
      <w:tr>
        <w:tc>
          <w:tcPr>
            <w:tcW w:type="dxa" w:w="1728"/>
            <w:shd w:val="clear" w:color="auto" w:fill="EEF2F7"/>
          </w:tcPr>
          <w:p>
            <w:r/>
            <w:r>
              <w:t>Subtotal</w:t>
            </w:r>
          </w:p>
        </w:tc>
        <w:tc>
          <w:tcPr>
            <w:tcW w:type="dxa" w:w="1728"/>
            <w:shd w:val="clear" w:color="auto" w:fill="EEF2F7"/>
          </w:tcPr>
          <w:p>
            <w:r/>
          </w:p>
        </w:tc>
        <w:tc>
          <w:tcPr>
            <w:tcW w:type="dxa" w:w="1728"/>
            <w:shd w:val="clear" w:color="auto" w:fill="EEF2F7"/>
          </w:tcPr>
          <w:p>
            <w:r/>
            <w:r>
              <w:t>49 days</w:t>
            </w:r>
          </w:p>
        </w:tc>
        <w:tc>
          <w:tcPr>
            <w:tcW w:type="dxa" w:w="1728"/>
            <w:shd w:val="clear" w:color="auto" w:fill="EEF2F7"/>
          </w:tcPr>
          <w:p>
            <w:r/>
          </w:p>
        </w:tc>
        <w:tc>
          <w:tcPr>
            <w:tcW w:type="dxa" w:w="1728"/>
            <w:shd w:val="clear" w:color="auto" w:fill="EEF2F7"/>
          </w:tcPr>
          <w:p>
            <w:r/>
            <w:r>
              <w:t>USD 42,200</w:t>
            </w:r>
          </w:p>
        </w:tc>
      </w:tr>
      <w:tr>
        <w:tc>
          <w:tcPr>
            <w:tcW w:type="dxa" w:w="1728"/>
          </w:tcPr>
          <w:p>
            <w:r/>
            <w:r>
              <w:t>Contingency (15%)</w:t>
            </w:r>
          </w:p>
        </w:tc>
        <w:tc>
          <w:tcPr>
            <w:tcW w:type="dxa" w:w="1728"/>
          </w:tcPr>
          <w:p>
            <w:r/>
          </w:p>
        </w:tc>
        <w:tc>
          <w:tcPr>
            <w:tcW w:type="dxa" w:w="1728"/>
          </w:tcPr>
          <w:p>
            <w:r/>
          </w:p>
        </w:tc>
        <w:tc>
          <w:tcPr>
            <w:tcW w:type="dxa" w:w="1728"/>
          </w:tcPr>
          <w:p>
            <w:r/>
          </w:p>
        </w:tc>
        <w:tc>
          <w:tcPr>
            <w:tcW w:type="dxa" w:w="1728"/>
          </w:tcPr>
          <w:p>
            <w:r/>
            <w:r>
              <w:t>USD 6,330</w:t>
            </w:r>
          </w:p>
        </w:tc>
      </w:tr>
      <w:tr>
        <w:tc>
          <w:tcPr>
            <w:tcW w:type="dxa" w:w="1728"/>
            <w:shd w:val="clear" w:color="auto" w:fill="EEF2F7"/>
          </w:tcPr>
          <w:p>
            <w:r/>
            <w:r>
              <w:rPr>
                <w:b/>
              </w:rPr>
              <w:t>Estimated total</w:t>
            </w:r>
          </w:p>
        </w:tc>
        <w:tc>
          <w:tcPr>
            <w:tcW w:type="dxa" w:w="1728"/>
            <w:shd w:val="clear" w:color="auto" w:fill="EEF2F7"/>
          </w:tcPr>
          <w:p>
            <w:r/>
          </w:p>
        </w:tc>
        <w:tc>
          <w:tcPr>
            <w:tcW w:type="dxa" w:w="1728"/>
            <w:shd w:val="clear" w:color="auto" w:fill="EEF2F7"/>
          </w:tcPr>
          <w:p>
            <w:r/>
          </w:p>
        </w:tc>
        <w:tc>
          <w:tcPr>
            <w:tcW w:type="dxa" w:w="1728"/>
            <w:shd w:val="clear" w:color="auto" w:fill="EEF2F7"/>
          </w:tcPr>
          <w:p>
            <w:r/>
          </w:p>
        </w:tc>
        <w:tc>
          <w:tcPr>
            <w:tcW w:type="dxa" w:w="1728"/>
            <w:shd w:val="clear" w:color="auto" w:fill="EEF2F7"/>
          </w:tcPr>
          <w:p>
            <w:r/>
            <w:r>
              <w:rPr>
                <w:b/>
              </w:rPr>
              <w:t>USD 48,530</w:t>
            </w:r>
          </w:p>
        </w:tc>
      </w:tr>
    </w:tbl>
    <w:p/>
    <w:p>
      <w:r>
        <w:t>Effort figures are estimates; rates come from the reference rate card (illustrative data) and all totals are calculated, not generated. Basis: Assumes 150‑250 users, 5 TB data, and that each role can work up to 30 days within the 6‑week window; non‑labour items cover the one‑month parallel run period.</w:t>
      </w:r>
    </w:p>
    <w:p>
      <w:pPr>
        <w:pStyle w:val="Heading1"/>
      </w:pPr>
      <w:r>
        <w:t>Migration Approach</w:t>
      </w:r>
    </w:p>
    <w:p>
      <w:r>
        <w:t>The migration will use a provider‑agnostic architecture that can be instantiated on AWS, Azure, or GCP with comparable services (e.g., managed relational database, virtual network, and identity federation). The core design consists of a cloud‑hosted replica of the on‑prem CRM database, a dual‑write synchronization layer using Change Data Capture (CDC), and a load‑balancer that can route traffic to either the on‑prem or cloud instance during the cut‑over window.</w:t>
      </w:r>
    </w:p>
    <w:p>
      <w:pPr>
        <w:pStyle w:val="ListBullet"/>
      </w:pPr>
      <w:r>
        <w:t>Architecture Options:</w:t>
      </w:r>
    </w:p>
    <w:p>
      <w:pPr>
        <w:pStyle w:val="ListBullet"/>
      </w:pPr>
      <w:r>
        <w:t>Option A – Managed relational service (Amazon RDS / Azure SQL Database / Cloud SQL) with built‑in high availability; estimated compute cost $2,000‑$3,000 per month.</w:t>
      </w:r>
    </w:p>
    <w:p>
      <w:pPr>
        <w:pStyle w:val="ListBullet"/>
      </w:pPr>
      <w:r>
        <w:t>Option B – Containerized CRM on Kubernetes (EKS / AKS / GKE) for greater control over custom extensions; estimated compute cost $3,500‑$4,500 per month.</w:t>
      </w:r>
    </w:p>
    <w:p>
      <w:pPr>
        <w:pStyle w:val="ListBullet"/>
      </w:pPr>
      <w:r>
        <w:t>Both options include VPC/VNet isolation, VPN/Direct Connect link, and Azure AD / AWS IAM integration for single sign‑on.</w:t>
      </w:r>
    </w:p>
    <w:p>
      <w:pPr>
        <w:pStyle w:val="ListBullet"/>
      </w:pPr>
      <w:r>
        <w:t>Data Replication Method:</w:t>
      </w:r>
    </w:p>
    <w:p>
      <w:pPr>
        <w:pStyle w:val="ListBullet"/>
      </w:pPr>
      <w:r>
        <w:t>CDC agents on the on‑prem database capture inserts, updates, and deletes in near real‑time.</w:t>
      </w:r>
    </w:p>
    <w:p>
      <w:pPr>
        <w:pStyle w:val="ListBullet"/>
      </w:pPr>
      <w:r>
        <w:t>Dual‑write service streams changes to the cloud replica, maintaining data parity with latency &lt;5 seconds.</w:t>
      </w:r>
    </w:p>
    <w:p>
      <w:pPr>
        <w:pStyle w:val="ListBullet"/>
      </w:pPr>
      <w:r>
        <w:t>A fallback switch can revert writes to the on‑prem system if anomalies are detected during pilot.</w:t>
      </w:r>
    </w:p>
    <w:p>
      <w:r>
        <w:t>Pilot Migration (Phase 2, Weeks 3‑4): The Solution Architect and Cloud Engineer will select a representative subset of 10 % of users (≈15‑25 users) and migrate their data and configurations to the cloud replica. Dual‑write will be enabled for this cohort, and functional testing will verify that all CRM screens, workflows, and integrations operate without interruption. Performance metrics and latency will be logged for comparison against on‑prem baselines.</w:t>
      </w:r>
    </w:p>
    <w:p>
      <w:r>
        <w:t>Cut‑over Strategy (Phase 3, Weeks 5‑6): During a pre‑defined low‑usage window (e.g., Saturday 02:00‑04:00 UTC), the DevOps Engineer will pause CDC, perform a final incremental sync, and switch the load‑balancer to direct all user traffic to the cloud instance. Dual‑write will be disabled, making the cloud CRM the single source of truth. A rollback plan retains the on‑prem system for 24 hours as a safety net.</w:t>
      </w:r>
    </w:p>
    <w:p>
      <w:r>
        <w:t>Validation Procedures: Post‑cut‑over, the QA Engineer will execute a validation checklist covering data integrity (row counts, checksum comparisons), functional tests (key business processes, integration endpoints), and performance benchmarks (response time &lt;200 ms). User Acceptance Testing will be conducted with a sample of end‑users; any issues will trigger the rollback window. Successful validation is recorded as the final milestone for the migration project.</w:t>
      </w:r>
    </w:p>
    <w:p>
      <w:pPr>
        <w:pStyle w:val="Heading1"/>
      </w:pPr>
      <w:r>
        <w:t>Risk Management</w:t>
      </w:r>
    </w:p>
    <w:p>
      <w:pPr>
        <w:pStyle w:val="ListBullet"/>
      </w:pPr>
      <w:r>
        <w:t>Risk: Budget overrun; Owner: Project Manager; Mitigation: Strict cost tracking against the $75,000‑$100,000 cap, use provider‑agnostic licensing estimates, limit consulting hours to predefined milestones; Contingency: Re‑prioritize non‑critical tasks (e.g., defer optional post‑migration training) and negotiate volume discounts with the selected cloud provider.</w:t>
      </w:r>
    </w:p>
    <w:p>
      <w:pPr>
        <w:pStyle w:val="ListBullet"/>
      </w:pPr>
      <w:r>
        <w:t>Risk: Timeline slip (exceeding 6‑week deadline); Owner: Solution Architect; Mitigation: Detailed weekly sprint plans, buffer tasks in Phase 2 pilot, daily stand‑ups to identify blockers early, use automated deployment pipelines; Contingency: Activate a parallel fast‑track cut‑over window during the lowest usage period and, if needed, extend Phase 3 by one week with executive approval while maintaining zero‑downtime via dual‑write replication.</w:t>
      </w:r>
    </w:p>
    <w:p>
      <w:pPr>
        <w:pStyle w:val="ListBullet"/>
      </w:pPr>
      <w:r>
        <w:t>Risk: Data sync issues during incremental replication; Owner: Data Engineer; Mitigation: Implement CDC‑based dual‑write shadow replication, run continuous validation checks, conduct a full data integrity test in the pilot; Contingency: Roll back to on‑premises read‑only mode, pause sync, resolve conflicts, and resume after issue resolution without user impact.</w:t>
      </w:r>
    </w:p>
    <w:p>
      <w:pPr>
        <w:pStyle w:val="ListBullet"/>
      </w:pPr>
      <w:r>
        <w:t>Risk: Compliance gaps (GDPR controls); Owner: Security Specialist; Mitigation: Perform a compliance checklist during Phase 1, configure encryption‑at‑rest and in‑transit, enforce role‑based access, and schedule an external audit of the cloud environment; Contingency: If a gap is identified, isolate affected data sets, apply required controls, and, if necessary, postpone migration of those data sets until compliance is achieved.</w:t>
      </w:r>
    </w:p>
    <w:p>
      <w:pPr>
        <w:pStyle w:val="Heading1"/>
      </w:pPr>
      <w:r>
        <w:t>Assumptions &amp; Open Questions</w:t>
      </w:r>
    </w:p>
    <w:p>
      <w:r>
        <w:t>This document was produced from an incomplete brief. The items below record what was assumed and what should be confirmed before the document is finalised.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A5F"/>
          </w:tcPr>
          <w:p>
            <w:r/>
            <w:r>
              <w:rPr>
                <w:b/>
                <w:color w:val="FFFFFF"/>
              </w:rPr>
              <w:t>#</w:t>
            </w:r>
          </w:p>
        </w:tc>
        <w:tc>
          <w:tcPr>
            <w:tcW w:type="dxa" w:w="4320"/>
            <w:shd w:val="clear" w:color="auto" w:fill="1F3A5F"/>
          </w:tcPr>
          <w:p>
            <w:r/>
            <w:r>
              <w:rPr>
                <w:b/>
                <w:color w:val="FFFFFF"/>
              </w:rPr>
              <w:t>Assumption made</w:t>
            </w:r>
          </w:p>
        </w:tc>
      </w:tr>
      <w:tr>
        <w:tc>
          <w:tcPr>
            <w:tcW w:type="dxa" w:w="4320"/>
          </w:tcPr>
          <w:p>
            <w:r/>
            <w:r>
              <w:t>1</w:t>
            </w:r>
          </w:p>
        </w:tc>
        <w:tc>
          <w:tcPr>
            <w:tcW w:type="dxa" w:w="4320"/>
          </w:tcPr>
          <w:p>
            <w:r/>
            <w:r>
              <w:t>User count to be confirmed by requester; assume 150‑250 active users for sizing purposes</w:t>
            </w:r>
          </w:p>
        </w:tc>
      </w:tr>
      <w:tr>
        <w:tc>
          <w:tcPr>
            <w:tcW w:type="dxa" w:w="4320"/>
            <w:shd w:val="clear" w:color="auto" w:fill="EEF2F7"/>
          </w:tcPr>
          <w:p>
            <w:r/>
            <w:r>
              <w:t>2</w:t>
            </w:r>
          </w:p>
        </w:tc>
        <w:tc>
          <w:tcPr>
            <w:tcW w:type="dxa" w:w="4320"/>
            <w:shd w:val="clear" w:color="auto" w:fill="EEF2F7"/>
          </w:tcPr>
          <w:p>
            <w:r/>
            <w:r>
              <w:t>Current CRM is an on‑premises solution (e.g., Microsoft Dynamics or custom app) that can be replicated in the cloud</w:t>
            </w:r>
          </w:p>
        </w:tc>
      </w:tr>
      <w:tr>
        <w:tc>
          <w:tcPr>
            <w:tcW w:type="dxa" w:w="4320"/>
          </w:tcPr>
          <w:p>
            <w:r/>
            <w:r>
              <w:t>3</w:t>
            </w:r>
          </w:p>
        </w:tc>
        <w:tc>
          <w:tcPr>
            <w:tcW w:type="dxa" w:w="4320"/>
          </w:tcPr>
          <w:p>
            <w:r/>
            <w:r>
              <w:t>Target cloud provider not yet selected; plan remains provider‑agnostic and outlines options for major providers (AWS, Azure, GCP)</w:t>
            </w:r>
          </w:p>
        </w:tc>
      </w:tr>
      <w:tr>
        <w:tc>
          <w:tcPr>
            <w:tcW w:type="dxa" w:w="4320"/>
            <w:shd w:val="clear" w:color="auto" w:fill="EEF2F7"/>
          </w:tcPr>
          <w:p>
            <w:r/>
            <w:r>
              <w:t>4</w:t>
            </w:r>
          </w:p>
        </w:tc>
        <w:tc>
          <w:tcPr>
            <w:tcW w:type="dxa" w:w="4320"/>
            <w:shd w:val="clear" w:color="auto" w:fill="EEF2F7"/>
          </w:tcPr>
          <w:p>
            <w:r/>
            <w:r>
              <w:t>Budget is limited but sufficient to cover licensing, migration tools, and minimal consulting; assume $75,000‑$100,000 available</w:t>
            </w:r>
          </w:p>
        </w:tc>
      </w:tr>
      <w:tr>
        <w:tc>
          <w:tcPr>
            <w:tcW w:type="dxa" w:w="4320"/>
          </w:tcPr>
          <w:p>
            <w:r/>
            <w:r>
              <w:t>5</w:t>
            </w:r>
          </w:p>
        </w:tc>
        <w:tc>
          <w:tcPr>
            <w:tcW w:type="dxa" w:w="4320"/>
          </w:tcPr>
          <w:p>
            <w:r/>
            <w:r>
              <w:t>Data volume is moderate (under 5 TB) and can be transferred using standard bandwidth and incremental sync techniques</w:t>
            </w:r>
          </w:p>
        </w:tc>
      </w:tr>
      <w:tr>
        <w:tc>
          <w:tcPr>
            <w:tcW w:type="dxa" w:w="4320"/>
            <w:shd w:val="clear" w:color="auto" w:fill="EEF2F7"/>
          </w:tcPr>
          <w:p>
            <w:r/>
            <w:r>
              <w:t>6</w:t>
            </w:r>
          </w:p>
        </w:tc>
        <w:tc>
          <w:tcPr>
            <w:tcW w:type="dxa" w:w="4320"/>
            <w:shd w:val="clear" w:color="auto" w:fill="EEF2F7"/>
          </w:tcPr>
          <w:p>
            <w:r/>
            <w:r>
              <w:t>No extraordinary compliance constraints beyond typical data protection; assume standard GDPR‑compliant controls are required</w:t>
            </w:r>
          </w:p>
        </w:tc>
      </w:tr>
      <w:tr>
        <w:tc>
          <w:tcPr>
            <w:tcW w:type="dxa" w:w="4320"/>
          </w:tcPr>
          <w:p>
            <w:r/>
            <w:r>
              <w:t>7</w:t>
            </w:r>
          </w:p>
        </w:tc>
        <w:tc>
          <w:tcPr>
            <w:tcW w:type="dxa" w:w="4320"/>
          </w:tcPr>
          <w:p>
            <w:r/>
            <w:r>
              <w:t>Internal team includes at least one senior DBA, one network engineer, and a project manager; external expertise can be engaged as needed</w:t>
            </w:r>
          </w:p>
        </w:tc>
      </w:tr>
      <w:tr>
        <w:tc>
          <w:tcPr>
            <w:tcW w:type="dxa" w:w="4320"/>
            <w:shd w:val="clear" w:color="auto" w:fill="EEF2F7"/>
          </w:tcPr>
          <w:p>
            <w:r/>
            <w:r>
              <w:t>8</w:t>
            </w:r>
          </w:p>
        </w:tc>
        <w:tc>
          <w:tcPr>
            <w:tcW w:type="dxa" w:w="4320"/>
            <w:shd w:val="clear" w:color="auto" w:fill="EEF2F7"/>
          </w:tcPr>
          <w:p>
            <w:r/>
            <w:r>
              <w:t>Existing integrations will be catalogued and re‑implemented post‑migration; assume they can be handled within the project scope</w:t>
            </w:r>
          </w:p>
        </w:tc>
      </w:tr>
    </w:tbl>
    <w:p/>
    <w:p>
      <w:r>
        <w:t>Conflicting requirements identified:</w:t>
      </w:r>
    </w:p>
    <w:p>
      <w:pPr>
        <w:pStyle w:val="ListBullet"/>
      </w:pPr>
      <w:r>
        <w:t>Tight budget versus aggressive 6‑week timeline with zero‑downtime requirement</w:t>
      </w:r>
    </w:p>
    <w:p>
      <w:r>
        <w:t>Open questions for the requester:</w:t>
      </w:r>
    </w:p>
    <w:p>
      <w:pPr>
        <w:pStyle w:val="ListNumber"/>
      </w:pPr>
      <w:r>
        <w:t>Please confirm: Exact number of CRM users</w:t>
      </w:r>
    </w:p>
    <w:p>
      <w:pPr>
        <w:pStyle w:val="ListNumber"/>
      </w:pPr>
      <w:r>
        <w:t>Please confirm: Current on‑premises CRM platform and version</w:t>
      </w:r>
    </w:p>
    <w:p>
      <w:pPr>
        <w:pStyle w:val="ListNumber"/>
      </w:pPr>
      <w:r>
        <w:t>Please confirm: Target cloud provider or preferred cloud environment</w:t>
      </w:r>
    </w:p>
    <w:p>
      <w:pPr>
        <w:pStyle w:val="ListNumber"/>
      </w:pPr>
      <w:r>
        <w:t>Please confirm: Specific budget amount allocated for the migration</w:t>
      </w:r>
    </w:p>
    <w:p>
      <w:pPr>
        <w:pStyle w:val="ListNumber"/>
      </w:pPr>
      <w:r>
        <w:t>Please confirm: Total data volume and any large attachments/files</w:t>
      </w:r>
    </w:p>
    <w:p>
      <w:pPr>
        <w:pStyle w:val="ListNumber"/>
      </w:pPr>
      <w:r>
        <w:t>Please confirm: Compliance or regulatory requirements (e.g., GDPR, HIPAA)</w:t>
      </w:r>
    </w:p>
    <w:p>
      <w:pPr>
        <w:pStyle w:val="ListNumber"/>
      </w:pPr>
      <w:r>
        <w:t>Please confirm: Available internal resources and skill sets (e.g., DBAs, network engineers)</w:t>
      </w:r>
    </w:p>
    <w:p>
      <w:pPr>
        <w:pStyle w:val="ListNumber"/>
      </w:pPr>
      <w:r>
        <w:t>Please confirm: Existing integration points with other systems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CRM Cloud Migration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