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2CAA" w:rsidRPr="00982CAA" w:rsidRDefault="00982CAA" w:rsidP="00982CAA">
      <w:pPr>
        <w:pBdr>
          <w:top w:val="single" w:sz="4" w:space="1" w:color="auto"/>
          <w:left w:val="single" w:sz="4" w:space="4" w:color="auto"/>
          <w:bottom w:val="single" w:sz="4" w:space="1" w:color="auto"/>
          <w:right w:val="single" w:sz="4" w:space="4" w:color="auto"/>
        </w:pBdr>
        <w:shd w:val="clear" w:color="auto" w:fill="DEEAF6" w:themeFill="accent1" w:themeFillTint="33"/>
        <w:rPr>
          <w:rFonts w:eastAsiaTheme="majorEastAsia" w:cstheme="majorBidi"/>
          <w:b/>
          <w:color w:val="0070C0"/>
          <w:spacing w:val="-10"/>
          <w:kern w:val="24"/>
          <w:position w:val="1"/>
          <w:sz w:val="56"/>
          <w:szCs w:val="96"/>
        </w:rPr>
      </w:pPr>
      <w:r w:rsidRPr="00982CAA">
        <w:rPr>
          <w:rFonts w:eastAsiaTheme="majorEastAsia" w:cstheme="majorBidi"/>
          <w:b/>
          <w:color w:val="0070C0"/>
          <w:spacing w:val="-10"/>
          <w:kern w:val="24"/>
          <w:position w:val="1"/>
          <w:sz w:val="56"/>
          <w:szCs w:val="96"/>
        </w:rPr>
        <w:t>Task 2 for submission</w:t>
      </w:r>
    </w:p>
    <w:p w:rsidR="00982CAA" w:rsidRPr="00982CAA" w:rsidRDefault="00982CAA" w:rsidP="00982CAA">
      <w:pPr>
        <w:pStyle w:val="NormalWeb"/>
        <w:spacing w:before="0" w:beforeAutospacing="0" w:after="0" w:afterAutospacing="0"/>
        <w:rPr>
          <w:rFonts w:asciiTheme="minorHAnsi" w:eastAsiaTheme="majorEastAsia" w:hAnsiTheme="minorHAnsi" w:cstheme="majorBidi"/>
          <w:b/>
          <w:color w:val="4472C4" w:themeColor="accent5"/>
          <w:spacing w:val="-10"/>
          <w:kern w:val="24"/>
          <w:position w:val="1"/>
        </w:rPr>
      </w:pPr>
      <w:r w:rsidRPr="00982CAA">
        <w:rPr>
          <w:rFonts w:asciiTheme="minorHAnsi" w:eastAsiaTheme="majorEastAsia" w:hAnsiTheme="minorHAnsi" w:cstheme="majorBidi"/>
          <w:b/>
          <w:color w:val="4472C4" w:themeColor="accent5"/>
          <w:spacing w:val="-10"/>
          <w:kern w:val="24"/>
          <w:position w:val="1"/>
        </w:rPr>
        <w:t>Part A</w:t>
      </w:r>
    </w:p>
    <w:p w:rsidR="00982CAA" w:rsidRPr="00982CAA" w:rsidRDefault="00982CAA" w:rsidP="00982CAA">
      <w:pPr>
        <w:pStyle w:val="NormalWeb"/>
        <w:spacing w:before="0" w:beforeAutospacing="0" w:after="0" w:afterAutospacing="0"/>
        <w:rPr>
          <w:rFonts w:asciiTheme="minorHAnsi" w:eastAsiaTheme="minorEastAsia" w:hAnsi="Tw Cen MT" w:cstheme="minorBidi"/>
          <w:b/>
          <w:i/>
          <w:iCs/>
          <w:color w:val="4472C4" w:themeColor="accent5"/>
          <w:kern w:val="24"/>
        </w:rPr>
      </w:pPr>
    </w:p>
    <w:p w:rsidR="00982CAA" w:rsidRDefault="00982CAA" w:rsidP="00982CAA">
      <w:pPr>
        <w:pStyle w:val="NormalWeb"/>
        <w:spacing w:before="0" w:beforeAutospacing="0" w:after="0" w:afterAutospacing="0"/>
        <w:rPr>
          <w:rFonts w:asciiTheme="minorHAnsi" w:eastAsiaTheme="minorEastAsia" w:hAnsiTheme="minorHAnsi" w:cstheme="minorBidi"/>
          <w:b/>
          <w:bCs/>
          <w:i/>
          <w:iCs/>
          <w:color w:val="000000" w:themeColor="text1"/>
          <w:kern w:val="24"/>
        </w:rPr>
      </w:pPr>
      <w:r w:rsidRPr="00982CAA">
        <w:rPr>
          <w:rFonts w:asciiTheme="minorHAnsi" w:eastAsiaTheme="minorEastAsia" w:hAnsiTheme="minorHAnsi" w:cstheme="minorBidi"/>
          <w:i/>
          <w:iCs/>
          <w:color w:val="000000" w:themeColor="text1"/>
          <w:kern w:val="24"/>
        </w:rPr>
        <w:t xml:space="preserve">This task addresses </w:t>
      </w:r>
      <w:r w:rsidRPr="00982CAA">
        <w:rPr>
          <w:rFonts w:asciiTheme="minorHAnsi" w:eastAsiaTheme="minorEastAsia" w:hAnsiTheme="minorHAnsi" w:cstheme="minorBidi"/>
          <w:b/>
          <w:bCs/>
          <w:i/>
          <w:iCs/>
          <w:color w:val="000000" w:themeColor="text1"/>
          <w:kern w:val="24"/>
        </w:rPr>
        <w:t>Unit Objective 2 – Apply accounting principles and processes relating to accounting and end-of-month reporting for a service business.</w:t>
      </w:r>
    </w:p>
    <w:p w:rsidR="00671E24" w:rsidRPr="00982CAA" w:rsidRDefault="00671E24" w:rsidP="00982CAA">
      <w:pPr>
        <w:pStyle w:val="NormalWeb"/>
        <w:spacing w:before="0" w:beforeAutospacing="0" w:after="0" w:afterAutospacing="0"/>
        <w:rPr>
          <w:rFonts w:asciiTheme="minorHAnsi" w:hAnsiTheme="minorHAnsi"/>
        </w:rPr>
      </w:pPr>
    </w:p>
    <w:p w:rsidR="00982CAA" w:rsidRPr="00671E24" w:rsidRDefault="00982CAA" w:rsidP="00982CAA">
      <w:pPr>
        <w:pStyle w:val="NormalWeb"/>
        <w:spacing w:before="0" w:beforeAutospacing="0" w:after="0" w:afterAutospacing="0"/>
        <w:rPr>
          <w:rFonts w:asciiTheme="minorHAnsi" w:hAnsiTheme="minorHAnsi"/>
        </w:rPr>
      </w:pPr>
      <w:r w:rsidRPr="00671E24">
        <w:rPr>
          <w:rFonts w:asciiTheme="minorHAnsi" w:eastAsiaTheme="minorEastAsia" w:hAnsiTheme="minorHAnsi" w:cstheme="minorBidi"/>
          <w:kern w:val="24"/>
        </w:rPr>
        <w:t>Lesley Petersen began her business, Petersen’s Consultancy Service on 1 July 2018.</w:t>
      </w:r>
    </w:p>
    <w:p w:rsidR="00982CAA" w:rsidRPr="00671E24" w:rsidRDefault="00982CAA" w:rsidP="00982CAA">
      <w:pPr>
        <w:pStyle w:val="NormalWeb"/>
        <w:spacing w:before="0" w:beforeAutospacing="0" w:after="0" w:afterAutospacing="0"/>
        <w:rPr>
          <w:rFonts w:asciiTheme="minorHAnsi" w:eastAsiaTheme="minorEastAsia" w:hAnsiTheme="minorHAnsi" w:cstheme="minorBidi"/>
          <w:kern w:val="24"/>
        </w:rPr>
      </w:pPr>
      <w:r w:rsidRPr="00671E24">
        <w:rPr>
          <w:rFonts w:asciiTheme="minorHAnsi" w:eastAsiaTheme="minorEastAsia" w:hAnsiTheme="minorHAnsi" w:cstheme="minorBidi"/>
          <w:kern w:val="24"/>
        </w:rPr>
        <w:t>Apply accounting principles to analyse the following transactions by completing a transaction analysis table.</w:t>
      </w:r>
    </w:p>
    <w:p w:rsidR="00982CAA" w:rsidRPr="00982CAA" w:rsidRDefault="00982CAA" w:rsidP="00982CAA">
      <w:pPr>
        <w:pStyle w:val="NormalWeb"/>
        <w:spacing w:before="0" w:beforeAutospacing="0" w:after="0" w:afterAutospacing="0"/>
        <w:rPr>
          <w:rFonts w:asciiTheme="minorHAnsi" w:hAnsiTheme="minorHAnsi"/>
        </w:rPr>
      </w:pPr>
    </w:p>
    <w:p w:rsidR="00982CAA" w:rsidRDefault="00982CAA">
      <w:pPr>
        <w:rPr>
          <w:noProof/>
        </w:rPr>
      </w:pPr>
      <w:r>
        <w:rPr>
          <w:noProof/>
        </w:rPr>
        <w:drawing>
          <wp:inline distT="0" distB="0" distL="0" distR="0" wp14:anchorId="5511BDF4" wp14:editId="24B1155B">
            <wp:extent cx="5731510" cy="2636520"/>
            <wp:effectExtent l="0" t="0" r="254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7"/>
                    <a:stretch>
                      <a:fillRect/>
                    </a:stretch>
                  </pic:blipFill>
                  <pic:spPr>
                    <a:xfrm>
                      <a:off x="0" y="0"/>
                      <a:ext cx="5731510" cy="2636520"/>
                    </a:xfrm>
                    <a:prstGeom prst="rect">
                      <a:avLst/>
                    </a:prstGeom>
                  </pic:spPr>
                </pic:pic>
              </a:graphicData>
            </a:graphic>
          </wp:inline>
        </w:drawing>
      </w:r>
    </w:p>
    <w:p w:rsidR="00982CAA" w:rsidRDefault="00982CAA" w:rsidP="00982CAA">
      <w:pPr>
        <w:pBdr>
          <w:top w:val="single" w:sz="4" w:space="1" w:color="auto"/>
        </w:pBdr>
        <w:rPr>
          <w:rFonts w:eastAsiaTheme="majorEastAsia" w:cstheme="majorBidi"/>
          <w:b/>
          <w:color w:val="0070C0"/>
          <w:spacing w:val="-10"/>
          <w:kern w:val="24"/>
          <w:position w:val="1"/>
          <w:sz w:val="24"/>
          <w:szCs w:val="24"/>
        </w:rPr>
      </w:pPr>
      <w:r w:rsidRPr="00982CAA">
        <w:rPr>
          <w:rFonts w:eastAsiaTheme="majorEastAsia" w:cstheme="majorBidi"/>
          <w:b/>
          <w:color w:val="0070C0"/>
          <w:spacing w:val="-10"/>
          <w:kern w:val="24"/>
          <w:position w:val="1"/>
          <w:sz w:val="24"/>
          <w:szCs w:val="24"/>
        </w:rPr>
        <w:t>Part B</w:t>
      </w:r>
    </w:p>
    <w:p w:rsidR="00982CAA" w:rsidRDefault="00982CAA" w:rsidP="00982CAA">
      <w:pPr>
        <w:pStyle w:val="NormalWeb"/>
        <w:spacing w:before="0" w:beforeAutospacing="0" w:after="0" w:afterAutospacing="0"/>
        <w:rPr>
          <w:rFonts w:asciiTheme="minorHAnsi" w:eastAsiaTheme="minorEastAsia" w:hAnsi="Tw Cen MT" w:cstheme="minorBidi"/>
          <w:i/>
          <w:iCs/>
          <w:color w:val="000000" w:themeColor="text1"/>
          <w:kern w:val="24"/>
        </w:rPr>
      </w:pPr>
      <w:r w:rsidRPr="00982CAA">
        <w:rPr>
          <w:rFonts w:asciiTheme="minorHAnsi" w:eastAsiaTheme="minorEastAsia" w:hAnsi="Tw Cen MT" w:cstheme="minorBidi"/>
          <w:i/>
          <w:iCs/>
          <w:color w:val="000000" w:themeColor="text1"/>
          <w:kern w:val="24"/>
        </w:rPr>
        <w:t xml:space="preserve">This task addresses </w:t>
      </w:r>
      <w:r w:rsidRPr="00982CAA">
        <w:rPr>
          <w:rFonts w:asciiTheme="minorHAnsi" w:eastAsiaTheme="minorEastAsia" w:hAnsi="Tw Cen MT" w:cstheme="minorBidi"/>
          <w:b/>
          <w:bCs/>
          <w:i/>
          <w:iCs/>
          <w:color w:val="000000" w:themeColor="text1"/>
          <w:kern w:val="24"/>
        </w:rPr>
        <w:t xml:space="preserve">Unit Objective 1 - Comprehend accounting concepts, principles and processes relating to accounting and end-of-month reporting for a service business. </w:t>
      </w:r>
      <w:r w:rsidRPr="00982CAA">
        <w:rPr>
          <w:rFonts w:asciiTheme="minorHAnsi" w:eastAsiaTheme="minorEastAsia" w:hAnsi="Tw Cen MT" w:cstheme="minorBidi"/>
          <w:i/>
          <w:iCs/>
          <w:color w:val="000000" w:themeColor="text1"/>
          <w:kern w:val="24"/>
        </w:rPr>
        <w:t xml:space="preserve">The cognitive verbs, </w:t>
      </w:r>
      <w:r w:rsidRPr="00982CAA">
        <w:rPr>
          <w:rFonts w:asciiTheme="minorHAnsi" w:eastAsiaTheme="minorEastAsia" w:hAnsi="Tw Cen MT" w:cstheme="minorBidi"/>
          <w:b/>
          <w:bCs/>
          <w:i/>
          <w:iCs/>
          <w:color w:val="000000" w:themeColor="text1"/>
          <w:kern w:val="24"/>
        </w:rPr>
        <w:t>describe</w:t>
      </w:r>
      <w:r w:rsidRPr="00982CAA">
        <w:rPr>
          <w:rFonts w:asciiTheme="minorHAnsi" w:eastAsiaTheme="minorEastAsia" w:hAnsi="Tw Cen MT" w:cstheme="minorBidi"/>
          <w:i/>
          <w:iCs/>
          <w:color w:val="000000" w:themeColor="text1"/>
          <w:kern w:val="24"/>
        </w:rPr>
        <w:t xml:space="preserve"> and </w:t>
      </w:r>
      <w:r w:rsidRPr="00982CAA">
        <w:rPr>
          <w:rFonts w:asciiTheme="minorHAnsi" w:eastAsiaTheme="minorEastAsia" w:hAnsi="Tw Cen MT" w:cstheme="minorBidi"/>
          <w:b/>
          <w:bCs/>
          <w:i/>
          <w:iCs/>
          <w:color w:val="000000" w:themeColor="text1"/>
          <w:kern w:val="24"/>
        </w:rPr>
        <w:t>explain</w:t>
      </w:r>
      <w:r w:rsidRPr="00982CAA">
        <w:rPr>
          <w:rFonts w:asciiTheme="minorHAnsi" w:eastAsiaTheme="minorEastAsia" w:hAnsi="Tw Cen MT" w:cstheme="minorBidi"/>
          <w:i/>
          <w:iCs/>
          <w:color w:val="000000" w:themeColor="text1"/>
          <w:kern w:val="24"/>
        </w:rPr>
        <w:t xml:space="preserve"> are components of </w:t>
      </w:r>
      <w:r w:rsidRPr="00982CAA">
        <w:rPr>
          <w:rFonts w:asciiTheme="minorHAnsi" w:eastAsiaTheme="minorEastAsia" w:hAnsi="Tw Cen MT" w:cstheme="minorBidi"/>
          <w:b/>
          <w:bCs/>
          <w:i/>
          <w:iCs/>
          <w:color w:val="000000" w:themeColor="text1"/>
          <w:kern w:val="24"/>
        </w:rPr>
        <w:t>comprehend</w:t>
      </w:r>
      <w:r w:rsidRPr="00982CAA">
        <w:rPr>
          <w:rFonts w:asciiTheme="minorHAnsi" w:eastAsiaTheme="minorEastAsia" w:hAnsi="Tw Cen MT" w:cstheme="minorBidi"/>
          <w:i/>
          <w:iCs/>
          <w:color w:val="000000" w:themeColor="text1"/>
          <w:kern w:val="24"/>
        </w:rPr>
        <w:t xml:space="preserve"> </w:t>
      </w:r>
      <w:proofErr w:type="spellStart"/>
      <w:r w:rsidRPr="00982CAA">
        <w:rPr>
          <w:rFonts w:asciiTheme="minorHAnsi" w:eastAsiaTheme="minorEastAsia" w:hAnsi="Tw Cen MT" w:cstheme="minorBidi"/>
          <w:i/>
          <w:iCs/>
          <w:color w:val="000000" w:themeColor="text1"/>
          <w:kern w:val="24"/>
        </w:rPr>
        <w:t>ie</w:t>
      </w:r>
      <w:proofErr w:type="spellEnd"/>
      <w:r w:rsidRPr="00982CAA">
        <w:rPr>
          <w:rFonts w:asciiTheme="minorHAnsi" w:eastAsiaTheme="minorEastAsia" w:hAnsi="Tw Cen MT" w:cstheme="minorBidi"/>
          <w:i/>
          <w:iCs/>
          <w:color w:val="000000" w:themeColor="text1"/>
          <w:kern w:val="24"/>
        </w:rPr>
        <w:t xml:space="preserve"> to show your comprehension of a concept, principle or process, you must describe or explain the concept, principle or process.</w:t>
      </w:r>
    </w:p>
    <w:p w:rsidR="00982CAA" w:rsidRDefault="00982CAA" w:rsidP="00982CAA">
      <w:pPr>
        <w:pStyle w:val="NormalWeb"/>
        <w:spacing w:before="0" w:beforeAutospacing="0" w:after="0" w:afterAutospacing="0"/>
        <w:rPr>
          <w:rFonts w:asciiTheme="minorHAnsi" w:eastAsiaTheme="minorEastAsia" w:hAnsi="Tw Cen MT" w:cstheme="minorBidi"/>
          <w:i/>
          <w:iCs/>
          <w:color w:val="000000" w:themeColor="text1"/>
          <w:kern w:val="24"/>
        </w:rPr>
      </w:pPr>
    </w:p>
    <w:p w:rsidR="00982CAA" w:rsidRPr="00671E24" w:rsidRDefault="00982CAA" w:rsidP="00982CAA">
      <w:pPr>
        <w:spacing w:after="0" w:line="240" w:lineRule="auto"/>
        <w:rPr>
          <w:rFonts w:eastAsia="Times New Roman" w:cs="Times New Roman"/>
          <w:sz w:val="24"/>
          <w:szCs w:val="24"/>
        </w:rPr>
      </w:pPr>
      <w:r w:rsidRPr="00671E24">
        <w:rPr>
          <w:kern w:val="24"/>
          <w:sz w:val="24"/>
          <w:szCs w:val="24"/>
        </w:rPr>
        <w:t xml:space="preserve">In 50 – 75 word paragraphs, </w:t>
      </w:r>
      <w:r w:rsidRPr="00671E24">
        <w:rPr>
          <w:b/>
          <w:bCs/>
          <w:kern w:val="24"/>
          <w:sz w:val="24"/>
          <w:szCs w:val="24"/>
        </w:rPr>
        <w:t>describe</w:t>
      </w:r>
      <w:r w:rsidRPr="00671E24">
        <w:rPr>
          <w:kern w:val="24"/>
          <w:sz w:val="24"/>
          <w:szCs w:val="24"/>
        </w:rPr>
        <w:t xml:space="preserve"> the following accounting concepts, principles or processes:</w:t>
      </w:r>
    </w:p>
    <w:p w:rsidR="00982CAA" w:rsidRPr="007C3060" w:rsidRDefault="00982CAA" w:rsidP="00982CAA">
      <w:pPr>
        <w:numPr>
          <w:ilvl w:val="0"/>
          <w:numId w:val="1"/>
        </w:numPr>
        <w:spacing w:after="0" w:line="240" w:lineRule="auto"/>
        <w:ind w:left="1440"/>
        <w:contextualSpacing/>
        <w:rPr>
          <w:rFonts w:eastAsia="Times New Roman" w:cs="Times New Roman"/>
          <w:sz w:val="24"/>
          <w:szCs w:val="24"/>
        </w:rPr>
      </w:pPr>
      <w:r w:rsidRPr="002A35C5">
        <w:rPr>
          <w:kern w:val="24"/>
          <w:sz w:val="24"/>
          <w:szCs w:val="24"/>
        </w:rPr>
        <w:t>Transaction analysis</w:t>
      </w:r>
    </w:p>
    <w:p w:rsidR="007C3060" w:rsidRPr="002A35C5" w:rsidRDefault="007C3060" w:rsidP="002E2A39">
      <w:pPr>
        <w:spacing w:after="0" w:line="240" w:lineRule="auto"/>
        <w:contextualSpacing/>
        <w:rPr>
          <w:rFonts w:eastAsia="Times New Roman" w:cs="Times New Roman"/>
          <w:sz w:val="24"/>
          <w:szCs w:val="24"/>
        </w:rPr>
      </w:pPr>
      <w:r w:rsidRPr="002E2A39">
        <w:rPr>
          <w:rFonts w:eastAsia="Times New Roman" w:cs="Times New Roman"/>
          <w:sz w:val="24"/>
          <w:szCs w:val="24"/>
          <w:highlight w:val="yellow"/>
        </w:rPr>
        <w:t>Transaction analysis is when you look at transactions that have occurred and analyse the accounting impact of these transactions. This will involve categorising the transactions as A, L, OE, R, or E and identifying their nature as Dr or Cr. Analysis</w:t>
      </w:r>
      <w:r w:rsidR="002E2A39" w:rsidRPr="002E2A39">
        <w:rPr>
          <w:rFonts w:eastAsia="Times New Roman" w:cs="Times New Roman"/>
          <w:sz w:val="24"/>
          <w:szCs w:val="24"/>
          <w:highlight w:val="yellow"/>
        </w:rPr>
        <w:t xml:space="preserve"> can be done using an analysis table that takes you through the steps taken to conclude whether a Dr or Cr needs to be recorded.</w:t>
      </w:r>
    </w:p>
    <w:p w:rsidR="00982CAA" w:rsidRPr="002E2A39" w:rsidRDefault="00982CAA" w:rsidP="00982CAA">
      <w:pPr>
        <w:numPr>
          <w:ilvl w:val="0"/>
          <w:numId w:val="1"/>
        </w:numPr>
        <w:spacing w:after="0" w:line="240" w:lineRule="auto"/>
        <w:ind w:left="1440"/>
        <w:contextualSpacing/>
        <w:rPr>
          <w:rFonts w:eastAsia="Times New Roman" w:cs="Times New Roman"/>
          <w:sz w:val="24"/>
          <w:szCs w:val="24"/>
        </w:rPr>
      </w:pPr>
      <w:r w:rsidRPr="002A35C5">
        <w:rPr>
          <w:kern w:val="24"/>
          <w:sz w:val="24"/>
          <w:szCs w:val="24"/>
        </w:rPr>
        <w:t>Double entry</w:t>
      </w:r>
    </w:p>
    <w:p w:rsidR="002E2A39" w:rsidRPr="002A35C5" w:rsidRDefault="002E2A39" w:rsidP="002E2A39">
      <w:pPr>
        <w:spacing w:after="0" w:line="240" w:lineRule="auto"/>
        <w:contextualSpacing/>
        <w:rPr>
          <w:rFonts w:eastAsia="Times New Roman" w:cs="Times New Roman"/>
          <w:sz w:val="24"/>
          <w:szCs w:val="24"/>
        </w:rPr>
      </w:pPr>
      <w:r w:rsidRPr="00866C6D">
        <w:rPr>
          <w:rFonts w:eastAsia="Times New Roman" w:cs="Times New Roman"/>
          <w:sz w:val="24"/>
          <w:szCs w:val="24"/>
          <w:highlight w:val="yellow"/>
        </w:rPr>
        <w:t>Double entry is an accounting recording system in which every debit entry has a corresponding credit entry. All transactions must involv</w:t>
      </w:r>
      <w:r w:rsidR="00866C6D" w:rsidRPr="00866C6D">
        <w:rPr>
          <w:rFonts w:eastAsia="Times New Roman" w:cs="Times New Roman"/>
          <w:sz w:val="24"/>
          <w:szCs w:val="24"/>
          <w:highlight w:val="yellow"/>
        </w:rPr>
        <w:t>e at least two accounts. Total debits must equal total credits in every transaction.</w:t>
      </w:r>
    </w:p>
    <w:p w:rsidR="00866C6D" w:rsidRDefault="00982CAA" w:rsidP="00866C6D">
      <w:pPr>
        <w:numPr>
          <w:ilvl w:val="0"/>
          <w:numId w:val="1"/>
        </w:numPr>
        <w:spacing w:after="0" w:line="240" w:lineRule="auto"/>
        <w:ind w:left="1440"/>
        <w:contextualSpacing/>
        <w:rPr>
          <w:rFonts w:eastAsia="Times New Roman" w:cs="Times New Roman"/>
          <w:sz w:val="24"/>
          <w:szCs w:val="24"/>
        </w:rPr>
      </w:pPr>
      <w:r w:rsidRPr="002A35C5">
        <w:rPr>
          <w:kern w:val="24"/>
          <w:sz w:val="24"/>
          <w:szCs w:val="24"/>
        </w:rPr>
        <w:lastRenderedPageBreak/>
        <w:t>Source documents which evidence cash and credit transactions</w:t>
      </w:r>
    </w:p>
    <w:p w:rsidR="00866C6D" w:rsidRPr="00866C6D" w:rsidRDefault="00866C6D" w:rsidP="00866C6D">
      <w:pPr>
        <w:spacing w:after="0" w:line="240" w:lineRule="auto"/>
        <w:contextualSpacing/>
        <w:rPr>
          <w:rFonts w:eastAsia="Times New Roman" w:cs="Times New Roman"/>
          <w:sz w:val="24"/>
          <w:szCs w:val="24"/>
        </w:rPr>
      </w:pPr>
      <w:r w:rsidRPr="00866C6D">
        <w:rPr>
          <w:rFonts w:eastAsia="Times New Roman" w:cs="Times New Roman"/>
          <w:sz w:val="24"/>
          <w:szCs w:val="24"/>
          <w:highlight w:val="yellow"/>
        </w:rPr>
        <w:t>Source documents are generated when a business transaction occurs and are used by the business to provide evidence that the transaction has occurred and verifies the details of the transaction. The source documents are also used to collect data which is entered into the accounting system. Examples of source documents include receipts, cash register dockets, cheque butts, invoices, memos, bank statements and journal vouchers.</w:t>
      </w:r>
    </w:p>
    <w:p w:rsidR="00982CAA" w:rsidRPr="00866C6D" w:rsidRDefault="00982CAA" w:rsidP="00982CAA">
      <w:pPr>
        <w:numPr>
          <w:ilvl w:val="0"/>
          <w:numId w:val="1"/>
        </w:numPr>
        <w:spacing w:after="0" w:line="240" w:lineRule="auto"/>
        <w:ind w:left="1440"/>
        <w:contextualSpacing/>
        <w:rPr>
          <w:rFonts w:eastAsia="Times New Roman" w:cs="Times New Roman"/>
          <w:sz w:val="24"/>
          <w:szCs w:val="24"/>
        </w:rPr>
      </w:pPr>
      <w:r w:rsidRPr="002A35C5">
        <w:rPr>
          <w:kern w:val="24"/>
          <w:sz w:val="24"/>
          <w:szCs w:val="24"/>
        </w:rPr>
        <w:t>General journal</w:t>
      </w:r>
    </w:p>
    <w:p w:rsidR="00866C6D" w:rsidRPr="002A35C5" w:rsidRDefault="003760DC" w:rsidP="00866C6D">
      <w:pPr>
        <w:spacing w:after="0" w:line="240" w:lineRule="auto"/>
        <w:contextualSpacing/>
        <w:rPr>
          <w:rFonts w:eastAsia="Times New Roman" w:cs="Times New Roman"/>
          <w:sz w:val="24"/>
          <w:szCs w:val="24"/>
        </w:rPr>
      </w:pPr>
      <w:r w:rsidRPr="00A237D4">
        <w:rPr>
          <w:rFonts w:eastAsia="Times New Roman" w:cs="Times New Roman"/>
          <w:sz w:val="24"/>
          <w:szCs w:val="24"/>
          <w:highlight w:val="yellow"/>
        </w:rPr>
        <w:t>A journal is used to organise the information from source documents and forms the basis of double entry accounting. The general journal is a book of original entry in the accounting process, records</w:t>
      </w:r>
      <w:r w:rsidR="0020484B" w:rsidRPr="00A237D4">
        <w:rPr>
          <w:rFonts w:eastAsia="Times New Roman" w:cs="Times New Roman"/>
          <w:sz w:val="24"/>
          <w:szCs w:val="24"/>
          <w:highlight w:val="yellow"/>
        </w:rPr>
        <w:t xml:space="preserve"> information obtained from source documents and records transactions in their debit and credit components.</w:t>
      </w:r>
    </w:p>
    <w:p w:rsidR="00982CAA" w:rsidRPr="00982CAA" w:rsidRDefault="00982CAA" w:rsidP="00982CAA">
      <w:pPr>
        <w:spacing w:after="0" w:line="240" w:lineRule="auto"/>
        <w:ind w:left="1440"/>
        <w:contextualSpacing/>
        <w:rPr>
          <w:rFonts w:eastAsia="Times New Roman" w:cs="Times New Roman"/>
          <w:sz w:val="24"/>
          <w:szCs w:val="24"/>
        </w:rPr>
      </w:pPr>
    </w:p>
    <w:p w:rsidR="00982CAA" w:rsidRPr="002A35C5" w:rsidRDefault="00982CAA" w:rsidP="00982CAA">
      <w:pPr>
        <w:spacing w:after="0" w:line="240" w:lineRule="auto"/>
        <w:rPr>
          <w:rFonts w:eastAsia="Times New Roman" w:cs="Times New Roman"/>
          <w:sz w:val="24"/>
          <w:szCs w:val="24"/>
        </w:rPr>
      </w:pPr>
      <w:r w:rsidRPr="002A35C5">
        <w:rPr>
          <w:kern w:val="24"/>
          <w:sz w:val="24"/>
          <w:szCs w:val="24"/>
        </w:rPr>
        <w:t xml:space="preserve">In a 50 – 75 word paragraph, </w:t>
      </w:r>
      <w:r w:rsidRPr="002A35C5">
        <w:rPr>
          <w:b/>
          <w:bCs/>
          <w:kern w:val="24"/>
          <w:sz w:val="24"/>
          <w:szCs w:val="24"/>
        </w:rPr>
        <w:t>explain</w:t>
      </w:r>
      <w:r w:rsidRPr="002A35C5">
        <w:rPr>
          <w:kern w:val="24"/>
          <w:sz w:val="24"/>
          <w:szCs w:val="24"/>
        </w:rPr>
        <w:t xml:space="preserve"> how debits and credits are deduced for increases/decreases in the elements of the accounting equation.</w:t>
      </w:r>
    </w:p>
    <w:p w:rsidR="00982CAA" w:rsidRDefault="00982CAA">
      <w:pPr>
        <w:rPr>
          <w:noProof/>
        </w:rPr>
      </w:pPr>
    </w:p>
    <w:p w:rsidR="00D05C04" w:rsidRPr="00140582" w:rsidRDefault="00D05C04">
      <w:pPr>
        <w:rPr>
          <w:noProof/>
          <w:highlight w:val="yellow"/>
        </w:rPr>
      </w:pPr>
      <w:r w:rsidRPr="00140582">
        <w:rPr>
          <w:noProof/>
          <w:highlight w:val="yellow"/>
        </w:rPr>
        <w:t>The accounting equation is composed of Assests. Liabilities and Owner’s Equity. Revenues and Expenses also have an effect on owner’s equity, as profits will increase the owner’s equity while losses decrease the owner’s equity.</w:t>
      </w:r>
    </w:p>
    <w:p w:rsidR="00140582" w:rsidRDefault="00140582">
      <w:pPr>
        <w:rPr>
          <w:noProof/>
        </w:rPr>
      </w:pPr>
      <w:r w:rsidRPr="00140582">
        <w:rPr>
          <w:noProof/>
          <w:highlight w:val="yellow"/>
        </w:rPr>
        <w:t>Each component (A, L, OE, R &amp; E) has a nature, which is either debit or credit. If the transaction that occurs has the effect of increasing the account, the account is treated the same as its nature. If a transaction has the effect of decreasing the account, the account is treated opposite to its nature.</w:t>
      </w:r>
    </w:p>
    <w:p w:rsidR="00982CAA" w:rsidRDefault="00982CAA"/>
    <w:sectPr w:rsidR="00982CA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6244" w:rsidRDefault="006E6244" w:rsidP="00982CAA">
      <w:pPr>
        <w:spacing w:after="0" w:line="240" w:lineRule="auto"/>
      </w:pPr>
      <w:r>
        <w:separator/>
      </w:r>
    </w:p>
  </w:endnote>
  <w:endnote w:type="continuationSeparator" w:id="0">
    <w:p w:rsidR="006E6244" w:rsidRDefault="006E6244" w:rsidP="0098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6244" w:rsidRDefault="006E6244" w:rsidP="00982CAA">
      <w:pPr>
        <w:spacing w:after="0" w:line="240" w:lineRule="auto"/>
      </w:pPr>
      <w:r>
        <w:separator/>
      </w:r>
    </w:p>
  </w:footnote>
  <w:footnote w:type="continuationSeparator" w:id="0">
    <w:p w:rsidR="006E6244" w:rsidRDefault="006E6244" w:rsidP="00982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CAA" w:rsidRPr="00982CAA" w:rsidRDefault="00982CAA">
    <w:pPr>
      <w:pStyle w:val="Header"/>
      <w:rPr>
        <w:color w:val="4472C4" w:themeColor="accent5"/>
      </w:rPr>
    </w:pPr>
    <w:r w:rsidRPr="00982CAA">
      <w:rPr>
        <w:color w:val="4472C4" w:themeColor="accent5"/>
      </w:rPr>
      <w:t>PPT3 – Task 2 for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04B41"/>
    <w:multiLevelType w:val="hybridMultilevel"/>
    <w:tmpl w:val="78E67BD8"/>
    <w:lvl w:ilvl="0" w:tplc="78F6D460">
      <w:start w:val="1"/>
      <w:numFmt w:val="lowerLetter"/>
      <w:lvlText w:val="%1)"/>
      <w:lvlJc w:val="left"/>
      <w:pPr>
        <w:tabs>
          <w:tab w:val="num" w:pos="720"/>
        </w:tabs>
        <w:ind w:left="720" w:hanging="360"/>
      </w:pPr>
    </w:lvl>
    <w:lvl w:ilvl="1" w:tplc="E8F8F25C" w:tentative="1">
      <w:start w:val="1"/>
      <w:numFmt w:val="lowerLetter"/>
      <w:lvlText w:val="%2)"/>
      <w:lvlJc w:val="left"/>
      <w:pPr>
        <w:tabs>
          <w:tab w:val="num" w:pos="1440"/>
        </w:tabs>
        <w:ind w:left="1440" w:hanging="360"/>
      </w:pPr>
    </w:lvl>
    <w:lvl w:ilvl="2" w:tplc="6B04F792" w:tentative="1">
      <w:start w:val="1"/>
      <w:numFmt w:val="lowerLetter"/>
      <w:lvlText w:val="%3)"/>
      <w:lvlJc w:val="left"/>
      <w:pPr>
        <w:tabs>
          <w:tab w:val="num" w:pos="2160"/>
        </w:tabs>
        <w:ind w:left="2160" w:hanging="360"/>
      </w:pPr>
    </w:lvl>
    <w:lvl w:ilvl="3" w:tplc="4CBEA760" w:tentative="1">
      <w:start w:val="1"/>
      <w:numFmt w:val="lowerLetter"/>
      <w:lvlText w:val="%4)"/>
      <w:lvlJc w:val="left"/>
      <w:pPr>
        <w:tabs>
          <w:tab w:val="num" w:pos="2880"/>
        </w:tabs>
        <w:ind w:left="2880" w:hanging="360"/>
      </w:pPr>
    </w:lvl>
    <w:lvl w:ilvl="4" w:tplc="C0260918" w:tentative="1">
      <w:start w:val="1"/>
      <w:numFmt w:val="lowerLetter"/>
      <w:lvlText w:val="%5)"/>
      <w:lvlJc w:val="left"/>
      <w:pPr>
        <w:tabs>
          <w:tab w:val="num" w:pos="3600"/>
        </w:tabs>
        <w:ind w:left="3600" w:hanging="360"/>
      </w:pPr>
    </w:lvl>
    <w:lvl w:ilvl="5" w:tplc="1A1C1AB0" w:tentative="1">
      <w:start w:val="1"/>
      <w:numFmt w:val="lowerLetter"/>
      <w:lvlText w:val="%6)"/>
      <w:lvlJc w:val="left"/>
      <w:pPr>
        <w:tabs>
          <w:tab w:val="num" w:pos="4320"/>
        </w:tabs>
        <w:ind w:left="4320" w:hanging="360"/>
      </w:pPr>
    </w:lvl>
    <w:lvl w:ilvl="6" w:tplc="10AE1FFE" w:tentative="1">
      <w:start w:val="1"/>
      <w:numFmt w:val="lowerLetter"/>
      <w:lvlText w:val="%7)"/>
      <w:lvlJc w:val="left"/>
      <w:pPr>
        <w:tabs>
          <w:tab w:val="num" w:pos="5040"/>
        </w:tabs>
        <w:ind w:left="5040" w:hanging="360"/>
      </w:pPr>
    </w:lvl>
    <w:lvl w:ilvl="7" w:tplc="BA387C14" w:tentative="1">
      <w:start w:val="1"/>
      <w:numFmt w:val="lowerLetter"/>
      <w:lvlText w:val="%8)"/>
      <w:lvlJc w:val="left"/>
      <w:pPr>
        <w:tabs>
          <w:tab w:val="num" w:pos="5760"/>
        </w:tabs>
        <w:ind w:left="5760" w:hanging="360"/>
      </w:pPr>
    </w:lvl>
    <w:lvl w:ilvl="8" w:tplc="7CB83192" w:tentative="1">
      <w:start w:val="1"/>
      <w:numFmt w:val="lowerLetter"/>
      <w:lvlText w:val="%9)"/>
      <w:lvlJc w:val="left"/>
      <w:pPr>
        <w:tabs>
          <w:tab w:val="num" w:pos="6480"/>
        </w:tabs>
        <w:ind w:left="6480" w:hanging="360"/>
      </w:pPr>
    </w:lvl>
  </w:abstractNum>
  <w:num w:numId="1" w16cid:durableId="813260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CAA"/>
    <w:rsid w:val="00140582"/>
    <w:rsid w:val="0020484B"/>
    <w:rsid w:val="002A35C5"/>
    <w:rsid w:val="002E2A39"/>
    <w:rsid w:val="003760DC"/>
    <w:rsid w:val="00460C21"/>
    <w:rsid w:val="00671E24"/>
    <w:rsid w:val="006E6244"/>
    <w:rsid w:val="007C3060"/>
    <w:rsid w:val="00866C6D"/>
    <w:rsid w:val="008E7860"/>
    <w:rsid w:val="00982CAA"/>
    <w:rsid w:val="00A237D4"/>
    <w:rsid w:val="00D05C0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4F02"/>
  <w15:chartTrackingRefBased/>
  <w15:docId w15:val="{C642F20B-B3CE-485A-BC1F-7101DCD9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CAA"/>
  </w:style>
  <w:style w:type="paragraph" w:styleId="Footer">
    <w:name w:val="footer"/>
    <w:basedOn w:val="Normal"/>
    <w:link w:val="FooterChar"/>
    <w:uiPriority w:val="99"/>
    <w:unhideWhenUsed/>
    <w:rsid w:val="00982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CAA"/>
  </w:style>
  <w:style w:type="paragraph" w:styleId="NormalWeb">
    <w:name w:val="Normal (Web)"/>
    <w:basedOn w:val="Normal"/>
    <w:uiPriority w:val="99"/>
    <w:unhideWhenUsed/>
    <w:rsid w:val="00982C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2CA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3422">
      <w:bodyDiv w:val="1"/>
      <w:marLeft w:val="0"/>
      <w:marRight w:val="0"/>
      <w:marTop w:val="0"/>
      <w:marBottom w:val="0"/>
      <w:divBdr>
        <w:top w:val="none" w:sz="0" w:space="0" w:color="auto"/>
        <w:left w:val="none" w:sz="0" w:space="0" w:color="auto"/>
        <w:bottom w:val="none" w:sz="0" w:space="0" w:color="auto"/>
        <w:right w:val="none" w:sz="0" w:space="0" w:color="auto"/>
      </w:divBdr>
    </w:div>
    <w:div w:id="1316302319">
      <w:bodyDiv w:val="1"/>
      <w:marLeft w:val="0"/>
      <w:marRight w:val="0"/>
      <w:marTop w:val="0"/>
      <w:marBottom w:val="0"/>
      <w:divBdr>
        <w:top w:val="none" w:sz="0" w:space="0" w:color="auto"/>
        <w:left w:val="none" w:sz="0" w:space="0" w:color="auto"/>
        <w:bottom w:val="none" w:sz="0" w:space="0" w:color="auto"/>
        <w:right w:val="none" w:sz="0" w:space="0" w:color="auto"/>
      </w:divBdr>
    </w:div>
    <w:div w:id="1389914254">
      <w:bodyDiv w:val="1"/>
      <w:marLeft w:val="0"/>
      <w:marRight w:val="0"/>
      <w:marTop w:val="0"/>
      <w:marBottom w:val="0"/>
      <w:divBdr>
        <w:top w:val="none" w:sz="0" w:space="0" w:color="auto"/>
        <w:left w:val="none" w:sz="0" w:space="0" w:color="auto"/>
        <w:bottom w:val="none" w:sz="0" w:space="0" w:color="auto"/>
        <w:right w:val="none" w:sz="0" w:space="0" w:color="auto"/>
      </w:divBdr>
    </w:div>
    <w:div w:id="2093313412">
      <w:bodyDiv w:val="1"/>
      <w:marLeft w:val="0"/>
      <w:marRight w:val="0"/>
      <w:marTop w:val="0"/>
      <w:marBottom w:val="0"/>
      <w:divBdr>
        <w:top w:val="none" w:sz="0" w:space="0" w:color="auto"/>
        <w:left w:val="none" w:sz="0" w:space="0" w:color="auto"/>
        <w:bottom w:val="none" w:sz="0" w:space="0" w:color="auto"/>
        <w:right w:val="none" w:sz="0" w:space="0" w:color="auto"/>
      </w:divBdr>
      <w:divsChild>
        <w:div w:id="1966234829">
          <w:marLeft w:val="720"/>
          <w:marRight w:val="0"/>
          <w:marTop w:val="0"/>
          <w:marBottom w:val="0"/>
          <w:divBdr>
            <w:top w:val="none" w:sz="0" w:space="0" w:color="auto"/>
            <w:left w:val="none" w:sz="0" w:space="0" w:color="auto"/>
            <w:bottom w:val="none" w:sz="0" w:space="0" w:color="auto"/>
            <w:right w:val="none" w:sz="0" w:space="0" w:color="auto"/>
          </w:divBdr>
        </w:div>
        <w:div w:id="137579592">
          <w:marLeft w:val="720"/>
          <w:marRight w:val="0"/>
          <w:marTop w:val="0"/>
          <w:marBottom w:val="0"/>
          <w:divBdr>
            <w:top w:val="none" w:sz="0" w:space="0" w:color="auto"/>
            <w:left w:val="none" w:sz="0" w:space="0" w:color="auto"/>
            <w:bottom w:val="none" w:sz="0" w:space="0" w:color="auto"/>
            <w:right w:val="none" w:sz="0" w:space="0" w:color="auto"/>
          </w:divBdr>
        </w:div>
        <w:div w:id="97257656">
          <w:marLeft w:val="720"/>
          <w:marRight w:val="0"/>
          <w:marTop w:val="0"/>
          <w:marBottom w:val="0"/>
          <w:divBdr>
            <w:top w:val="none" w:sz="0" w:space="0" w:color="auto"/>
            <w:left w:val="none" w:sz="0" w:space="0" w:color="auto"/>
            <w:bottom w:val="none" w:sz="0" w:space="0" w:color="auto"/>
            <w:right w:val="none" w:sz="0" w:space="0" w:color="auto"/>
          </w:divBdr>
        </w:div>
        <w:div w:id="716311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SLYKERMAN, Catherine</dc:creator>
  <cp:keywords/>
  <dc:description/>
  <cp:lastModifiedBy>HAMPSON, Riley (rhamp14)</cp:lastModifiedBy>
  <cp:revision>9</cp:revision>
  <dcterms:created xsi:type="dcterms:W3CDTF">2018-11-19T02:54:00Z</dcterms:created>
  <dcterms:modified xsi:type="dcterms:W3CDTF">2023-02-16T11:04:00Z</dcterms:modified>
</cp:coreProperties>
</file>