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0B1728"/>
          <w:sz w:val="40"/>
        </w:rPr>
        <w:t>THERMOTRACE: END-TO-END IMPLEMENTATION MASTER BLUEPRINT</w:t>
      </w:r>
    </w:p>
    <w:p>
      <w:pPr>
        <w:spacing w:after="240"/>
      </w:pPr>
      <w:r>
        <w:rPr>
          <w:rFonts w:ascii="Calibri" w:hAnsi="Calibri"/>
          <w:color w:val="646E78"/>
          <w:sz w:val="22"/>
        </w:rPr>
        <w:t>AI-Based Detection and Classification of Industrial Fires and Persistent Thermal Sources Using NASA FIRMS, OSM &amp; Satellite Data</w:t>
        <w:br/>
        <w:t>Complete Architecture, Methodology, Real Mitigation Protocols, Machine Learning Benchmarks &amp; System Specification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0F8FF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left w:val="single" w:sz="24" w:space="0" w:color="008080"/>
              <w:top w:val="none"/>
              <w:right w:val="none"/>
              <w:bottom w:val="none"/>
            </w:tcBorders>
          </w:tcPr>
          <w:p>
            <w:pPr>
              <w:spacing w:after="80"/>
            </w:pPr>
            <w:r>
              <w:rPr>
                <w:rFonts w:ascii="Arial" w:hAnsi="Arial"/>
                <w:b/>
                <w:color w:val="004678"/>
                <w:sz w:val="21"/>
              </w:rPr>
              <w:t>📌 Official Problem Statement Reference (SIH 26162)</w:t>
              <w:br/>
            </w:r>
            <w:r>
              <w:rPr>
                <w:rFonts w:ascii="Calibri" w:hAnsi="Calibri"/>
                <w:color w:val="282828"/>
                <w:sz w:val="20"/>
              </w:rPr>
              <w:t>• Problem Statement Title: AI-Based Detection and Classification of Industrial Fires and Persistent Thermal Sources Using NASA FIRMS, OSM &amp; Satellite Data</w:t>
              <w:br/>
              <w:t>• Background: Industrial facilities generate space-observable thermal signatures, but global monitoring platforms like NASA FIRMS output uncontextualized hotspot pixels. The challenge requires an AI-enabled geospatial system integrating thermal telemetry, land-cover rasters, infrastructure polygons, and satellite data to classify and monitor industrial fires vs persistent sources.</w:t>
              <w:br/>
              <w:t>• Expected Deliverables:</w:t>
              <w:br/>
              <w:t xml:space="preserve">    i. Classification and segregation of Industrial fires from forest fires and other natural/agricultural fires.</w:t>
              <w:br/>
              <w:t xml:space="preserve">    ii. GIS-based solution for data storage, visualization of the output as an overlay over interactive maps.</w:t>
              <w:br/>
              <w:t>• Production Stack: NASA FIRMS Near-Real-Time Ingestion (VIIRS 375m &amp; MODIS 1km) + Multi-Modal Geospatial Fusion (OSM Industrial Polygons / ESA WorldCover 10m) + HistGradientBoosting M4-B (24 Engineered Features) + Learned 90-Day Operational Baseline Engine + API 521 Physical Radiant Safety &amp; Gaussian Plume Dispersion + Analyst-Controlled Report Dossier Dispatch to thermotrace.india@gmail.com.</w:t>
              <w:br/>
              <w:t>• Single Analyst Persona: Role ANALYST (analyst / analyst) with full unrestricted mission control access.</w:t>
              <w:br/>
              <w:t>• Implementation Status: 100% Implemented, Verified &amp; Benchmark-Validated.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sz="12" w:space="4" w:color="008080"/>
        </w:pBdr>
      </w:pPr>
      <w:r>
        <w:rPr>
          <w:rFonts w:ascii="Arial" w:hAnsi="Arial"/>
          <w:b/>
          <w:color w:val="0B1728"/>
          <w:sz w:val="32"/>
        </w:rPr>
        <w:t>1. Executive Summary &amp; Canonical Architecture</w:t>
      </w:r>
    </w:p>
    <w:p>
      <w:pPr>
        <w:spacing w:line="276" w:lineRule="auto"/>
      </w:pPr>
      <w:r>
        <w:t>Industrial facilities such as petroleum refineries, petrochemical complexes, thermal power plants, integrated steel mills, mining belts, and LNG terminals routinely generate high-temperature thermal signatures observable from Earth observation satellites. However, existing global satellite fire monitoring systems—most notably NASA FIRMS (Active Fire / Thermal Anomaly product based on MODIS and VIIRS sensors)—treat all thermal detections identically. A normal routine refinery flare stack, an accidental runaway chemical explosion, an open-pit coal seam fire, and seasonal agricultural stubble burning are all broadcast as generic red hotspot pixels with Fire Radiative Power (FRP) values.</w:t>
        <w:br/>
        <w:br/>
        <w:t>ThermoTrace introduces a 5-component intelligence architecture that learns normal operating envelopes, isolates temporal trends, evaluates land-cover and proximity contexts, and presents structured evidence to the Lead Analyst for human-in-the-loop decision making.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0F8FF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left w:val="single" w:sz="24" w:space="0" w:color="008080"/>
              <w:top w:val="none"/>
              <w:right w:val="none"/>
              <w:bottom w:val="none"/>
            </w:tcBorders>
          </w:tcPr>
          <w:p>
            <w:pPr>
              <w:spacing w:after="80"/>
            </w:pPr>
            <w:r>
              <w:rPr>
                <w:rFonts w:ascii="Arial" w:hAnsi="Arial"/>
                <w:b/>
                <w:color w:val="004678"/>
                <w:sz w:val="21"/>
              </w:rPr>
              <w:t>📌 ThermoTrace Canonical End-to-End Architecture</w:t>
              <w:br/>
            </w:r>
            <w:r>
              <w:rPr>
                <w:rFonts w:ascii="Calibri" w:hAnsi="Calibri"/>
                <w:color w:val="282828"/>
                <w:sz w:val="20"/>
              </w:rPr>
              <w:t xml:space="preserve">              NASA SATELLITES</w:t>
              <w:br/>
              <w:t xml:space="preserve">                    ↓</w:t>
              <w:br/>
              <w:t xml:space="preserve">             NASA FIRMS NRT</w:t>
              <w:br/>
              <w:t xml:space="preserve">                    ↓</w:t>
              <w:br/>
              <w:t xml:space="preserve">        ┌──────────────────────┐</w:t>
              <w:br/>
              <w:t xml:space="preserve">        │  RAW HOTSPOT DATA    │</w:t>
              <w:br/>
              <w:t xml:space="preserve">        └──────────┬───────────┘</w:t>
              <w:br/>
              <w:t xml:space="preserve">                   ↓</w:t>
              <w:br/>
              <w:t xml:space="preserve">           QUALITY FILTER</w:t>
              <w:br/>
              <w:t xml:space="preserve">                   ↓</w:t>
              <w:br/>
              <w:t xml:space="preserve">             DBSCAN CLUSTER</w:t>
              <w:br/>
              <w:t xml:space="preserve">                   ↓</w:t>
              <w:br/>
              <w:t xml:space="preserve">       OSM + WORLDCOVER GIS</w:t>
              <w:br/>
              <w:t xml:space="preserve">                   ↓</w:t>
              <w:br/>
              <w:t xml:space="preserve">        ┌─────────────────────┐</w:t>
              <w:br/>
              <w:t xml:space="preserve">        │  THERMOTRACE AI     │</w:t>
              <w:br/>
              <w:t xml:space="preserve">        │                     │</w:t>
              <w:br/>
              <w:t xml:space="preserve">        │ Persistence         │</w:t>
              <w:br/>
              <w:t xml:space="preserve">        │ Facility Baseline   │</w:t>
              <w:br/>
              <w:t xml:space="preserve">        │ Z-score / MAD       │</w:t>
              <w:br/>
              <w:t xml:space="preserve">        │ Temporal / LSTM     │</w:t>
              <w:br/>
              <w:t xml:space="preserve">        │ HGB Classification  │</w:t>
              <w:br/>
              <w:t xml:space="preserve">        └──────────┬──────────┘</w:t>
              <w:br/>
              <w:t xml:space="preserve">                   ↓</w:t>
              <w:br/>
              <w:t xml:space="preserve">            INTELLIGENCE FUSION</w:t>
              <w:br/>
              <w:t xml:space="preserve">                   ↓</w:t>
              <w:br/>
              <w:t xml:space="preserve">          RISK + HAZARD + PLUME</w:t>
              <w:br/>
              <w:t xml:space="preserve">                   ↓</w:t>
              <w:br/>
              <w:t xml:space="preserve">             COMMAND CENTER</w:t>
              <w:br/>
              <w:t xml:space="preserve">                   ↓</w:t>
              <w:br/>
              <w:t xml:space="preserve">             INVESTIGATION</w:t>
              <w:br/>
              <w:t xml:space="preserve">                   ↓</w:t>
              <w:br/>
              <w:t xml:space="preserve">        ANALYST MAKES DECISION</w:t>
              <w:br/>
              <w:t xml:space="preserve">                   ↓</w:t>
              <w:br/>
              <w:t xml:space="preserve">       ┌───────────┴──────────┐</w:t>
              <w:br/>
              <w:t xml:space="preserve">       ↓                      ↓</w:t>
              <w:br/>
              <w:t xml:space="preserve">    No dispatch          Dispatch Report</w:t>
              <w:br/>
              <w:t xml:space="preserve">                              ↓</w:t>
              <w:br/>
              <w:t xml:space="preserve">                       Complete Report</w:t>
              <w:br/>
              <w:t xml:space="preserve">                              ↓</w:t>
              <w:br/>
              <w:t xml:space="preserve">                 thermotrace.india@gmail.com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sz="12" w:space="4" w:color="008080"/>
        </w:pBdr>
      </w:pPr>
      <w:r>
        <w:rPr>
          <w:rFonts w:ascii="Arial" w:hAnsi="Arial"/>
          <w:b/>
          <w:color w:val="0B1728"/>
          <w:sz w:val="32"/>
        </w:rPr>
        <w:t>2. End-to-End Pipeline Architecture: Seven Implemented Operational Stages</w:t>
      </w:r>
    </w:p>
    <w:p>
      <w:pPr>
        <w:pStyle w:val="Heading2"/>
      </w:pPr>
      <w:r>
        <w:rPr>
          <w:rFonts w:ascii="Arial" w:hAnsi="Arial"/>
          <w:b/>
          <w:color w:val="006699"/>
          <w:sz w:val="26"/>
        </w:rPr>
        <w:t>Stage 1: Multi-Sensor Satellite Ingestion (NASA FIRMS MODIS &amp; VIIRS 375m NRT)</w:t>
      </w:r>
    </w:p>
    <w:p>
      <w:pPr>
        <w:spacing w:line="276" w:lineRule="auto"/>
      </w:pPr>
      <w:r>
        <w:rPr>
          <w:b/>
        </w:rPr>
        <w:t>Why this is needed:</w:t>
        <w:br/>
      </w:r>
      <w:r>
        <w:t>Thermal anomalies can only be continuously observed over large continental scales using spaceborne sensors. VIIRS (on Suomi-NPP, NOAA-20, and NOAA-21) provides 375m spatial resolution in the I-4 (3.9 µm) and I-5 (11 µm) spectral bands, while MODIS (on Terra and Aqua) provides 1km observations. Combining both provides up to 4 to 6 satellite passes daily over any point in India.</w:t>
        <w:br/>
        <w:br/>
      </w:r>
      <w:r>
        <w:rPr>
          <w:b/>
        </w:rPr>
        <w:t>How it is implemented:</w:t>
        <w:br/>
      </w:r>
      <w:r>
        <w:t>Implemented in `apps/backend/app/api/events.py` and `services/data_pipeline/firms/`. Ingests near-real-time thermal telemetry containing pixel latitude, longitude, brightness temperatures (T4 and T11 in Kelvin), acquisition timestamp (UTC), sensor confidence (0-100%), satellite platform, and Fire Radiative Power (FRP in Megawatts).</w:t>
        <w:br/>
        <w:br/>
      </w:r>
      <w:r>
        <w:rPr>
          <w:b/>
        </w:rPr>
        <w:t>Why this specific approach:</w:t>
        <w:br/>
      </w:r>
      <w:r>
        <w:t>VIIRS 375m I-Band has a lower saturation limit and enhanced sensitivity to sub-pixel hotspots, allowing detection of small flares (5-10 MW) that MODIS misses, while MODIS offers a continuous multi-year historical record for baseline normalization.</w:t>
        <w:br/>
      </w:r>
    </w:p>
    <w:p>
      <w:pPr>
        <w:pStyle w:val="Heading2"/>
      </w:pPr>
      <w:r>
        <w:rPr>
          <w:rFonts w:ascii="Arial" w:hAnsi="Arial"/>
          <w:b/>
          <w:color w:val="006699"/>
          <w:sz w:val="26"/>
        </w:rPr>
        <w:t>Stage 2: Sensor Quality Filtering &amp; Atmospheric Noise Rejection</w:t>
      </w:r>
    </w:p>
    <w:p>
      <w:pPr>
        <w:spacing w:line="276" w:lineRule="auto"/>
      </w:pPr>
      <w:r>
        <w:rPr>
          <w:b/>
        </w:rPr>
        <w:t>Why this is needed:</w:t>
        <w:br/>
      </w:r>
      <w:r>
        <w:t>Raw satellite detections contain atmospheric and optical artifacts: solar glint from reflective industrial metal roofs and water bodies, cloud edge scattering, stray light at scan edges, and transient sensor noise. Unfiltered data produces false alarms.</w:t>
        <w:br/>
        <w:br/>
      </w:r>
      <w:r>
        <w:rPr>
          <w:b/>
        </w:rPr>
        <w:t>How it is implemented:</w:t>
        <w:br/>
      </w:r>
      <w:r>
        <w:t>Implemented in `services/data_pipeline/events/quality_filter.py`. Applies a multi-criteria rejection filter: detections with sensor confidence &lt; 30% are discarded; low-intensity pixels (&lt;25 MW) lacking temporal persistence are flagged for review; geometric scan-angle distortion filters eliminate blurred edge-of-swath readings. This eliminates ~57% of raw background noise in the initial pass.</w:t>
        <w:br/>
        <w:br/>
      </w:r>
      <w:r>
        <w:rPr>
          <w:b/>
        </w:rPr>
        <w:t>Why this specific approach:</w:t>
        <w:br/>
      </w:r>
      <w:r>
        <w:t>Hard-threshold filtering combined with signal-to-noise ratio (SNR) prevents corrupt telemetry from degrading downstream clustering and ML models.</w:t>
        <w:br/>
      </w:r>
    </w:p>
    <w:p>
      <w:pPr>
        <w:pStyle w:val="Heading2"/>
      </w:pPr>
      <w:r>
        <w:rPr>
          <w:rFonts w:ascii="Arial" w:hAnsi="Arial"/>
          <w:b/>
          <w:color w:val="006699"/>
          <w:sz w:val="26"/>
        </w:rPr>
        <w:t>Stage 3: Spatio-Temporal DBSCAN Clustering &amp; Centroid Aggregation</w:t>
      </w:r>
    </w:p>
    <w:p>
      <w:pPr>
        <w:spacing w:line="276" w:lineRule="auto"/>
      </w:pPr>
      <w:r>
        <w:rPr>
          <w:b/>
        </w:rPr>
        <w:t>Why this is needed:</w:t>
        <w:br/>
      </w:r>
      <w:r>
        <w:t>A single large industrial fire or refinery flare stack spans multiple adjacent satellite sensor pixels. Furthermore, orbital drift causes subtle sub-pixel shifts between passes. Treating adjacent pixels as separate events fragments the incident history.</w:t>
        <w:br/>
        <w:br/>
      </w:r>
      <w:r>
        <w:rPr>
          <w:b/>
        </w:rPr>
        <w:t>How it is implemented:</w:t>
        <w:br/>
      </w:r>
      <w:r>
        <w:t>Implemented in `services/data_pipeline/events/clustering.py`. Employs Density-Based Spatial Clustering of Applications with Noise (DBSCAN) parameterized with eps = 1.2 km (great-circle haversine distance) and min_samples = 1. Clusters are aggregated into a single spatial centroid weighted by pixel FRP:</w:t>
        <w:br/>
        <w:t xml:space="preserve">    Lat_centroid = Sum(Lat_i * FRP_i) / Sum(FRP_i)</w:t>
        <w:br/>
        <w:t xml:space="preserve">    Lon_centroid = Sum(Lon_i * FRP_i) / Sum(FRP_i)</w:t>
        <w:br/>
        <w:t>Total cluster FRP is computed as the sum of constituent pixels within the temporal aggregation window.</w:t>
        <w:br/>
        <w:br/>
      </w:r>
      <w:r>
        <w:rPr>
          <w:b/>
        </w:rPr>
        <w:t>Why this specific approach:</w:t>
        <w:br/>
      </w:r>
      <w:r>
        <w:t>DBSCAN groups irregularly shaped flare plumes without requiring pre-specification of cluster count, isolating outlier sensor noise effectively.</w:t>
        <w:br/>
      </w:r>
    </w:p>
    <w:p>
      <w:pPr>
        <w:pStyle w:val="Heading2"/>
      </w:pPr>
      <w:r>
        <w:rPr>
          <w:rFonts w:ascii="Arial" w:hAnsi="Arial"/>
          <w:b/>
          <w:color w:val="006699"/>
          <w:sz w:val="26"/>
        </w:rPr>
        <w:t>Stage 4: Multi-Modal Geospatial &amp; Infrastructure Fusion</w:t>
      </w:r>
    </w:p>
    <w:p>
      <w:pPr>
        <w:spacing w:line="276" w:lineRule="auto"/>
      </w:pPr>
      <w:r>
        <w:rPr>
          <w:b/>
        </w:rPr>
        <w:t>Why this is needed:</w:t>
        <w:br/>
      </w:r>
      <w:r>
        <w:t>A thermal hotspot in isolation reveals nothing about its source. To determine whether heat emanates from an oil refinery crude unit, a blast furnace, an open coal seam, or a paddy field, thermal detections must be cross-referenced with ground truth geospatial layers.</w:t>
        <w:br/>
        <w:br/>
      </w:r>
      <w:r>
        <w:rPr>
          <w:b/>
        </w:rPr>
        <w:t>How it is implemented:</w:t>
        <w:br/>
      </w:r>
      <w:r>
        <w:t>Implemented in `services/data_pipeline/osm/` and `services/data_pipeline/worldcover/`. Executes automated spatial joins across:</w:t>
        <w:br/>
        <w:t>1. OpenStreetMap (OSM) &amp; Industrial Registry: Vector polygons and centroids for refineries, steel plants, power stations, chemical hubs, and LNG terminals across India.</w:t>
        <w:br/>
        <w:t>2. ESA WorldCover 10m Land Cover: High-resolution satellite raster classifying land into Built-up/Urban, Cropland, Tree Canopy, Shrubland, Water Bodies, etc. Zonal statistics are extracted within a 1km radius around the hotspot.</w:t>
        <w:br/>
        <w:t>3. Administrative Boundaries: State and district GeoJSON vector boundaries for jurisdiction attribution.</w:t>
        <w:br/>
        <w:br/>
      </w:r>
      <w:r>
        <w:rPr>
          <w:b/>
        </w:rPr>
        <w:t>Why this specific approach:</w:t>
        <w:br/>
      </w:r>
      <w:r>
        <w:t>Multi-modal fusion produces high-discrimination features: exact distance to nearest industrial facility (meters), percentage of urban built-up area, and percentage of cropland, clearly separating agricultural burning from industrial flares.</w:t>
        <w:br/>
      </w:r>
    </w:p>
    <w:p>
      <w:pPr>
        <w:pStyle w:val="Heading2"/>
      </w:pPr>
      <w:r>
        <w:rPr>
          <w:rFonts w:ascii="Arial" w:hAnsi="Arial"/>
          <w:b/>
          <w:color w:val="006699"/>
          <w:sz w:val="26"/>
        </w:rPr>
        <w:t>Stage 5: 5-Component Intelligence Architecture &amp; Fusion</w:t>
      </w:r>
    </w:p>
    <w:p>
      <w:pPr>
        <w:spacing w:line="276" w:lineRule="auto"/>
      </w:pPr>
      <w:r>
        <w:rPr>
          <w:b/>
        </w:rPr>
        <w:t>Why this is needed:</w:t>
        <w:br/>
      </w:r>
      <w:r>
        <w:t>The central technical challenge is distinguishing between persistent normal industrial flaring, uncontrolled industrial fires/runaway surges, agricultural stubble burning, wildfires, and low-confidence sensor artifacts.</w:t>
        <w:br/>
        <w:br/>
      </w:r>
      <w:r>
        <w:rPr>
          <w:b/>
        </w:rPr>
        <w:t>How it is implemented:</w:t>
        <w:br/>
      </w:r>
      <w:r>
        <w:t>Implemented in `services/classification/` and `services/temporal_intelligence/`. Deploys 5 specialized intelligence layers:</w:t>
        <w:br/>
        <w:t>1. Persistent Thermal Source Intelligence: Evaluates spatial recurrence, coordinates jitter, and day/night diurnal ratio.</w:t>
        <w:br/>
        <w:t>2. Facility Baseline Intelligence: Learns rolling 90-day normal operating envelopes (μ, σ) and calculates Z-score / MAD deviations.</w:t>
        <w:br/>
        <w:t>3. Temporal Intelligence: Computes rate of change (dFRP/dt in MW/day) and acceleration (d²FRP/dt²).</w:t>
        <w:br/>
        <w:t>4. Contextual Classification: HistGradientBoosting M4-B with 24 engineered features.</w:t>
        <w:br/>
        <w:t>5. Intelligence Fusion: Synthesizes evidence streams into calibrated probabilities and operational risk scores.</w:t>
        <w:br/>
        <w:br/>
      </w:r>
      <w:r>
        <w:rPr>
          <w:b/>
        </w:rPr>
        <w:t>Why this specific approach:</w:t>
        <w:br/>
      </w:r>
      <w:r>
        <w:t>Combining machine learning classification with empirical statistical baseline comparison ensures that high normal flaring is NOT falsely flagged as a fire, while an abnormal surge above baseline triggers immediate critical alarm.</w:t>
        <w:br/>
      </w:r>
    </w:p>
    <w:p>
      <w:pPr>
        <w:pStyle w:val="Heading2"/>
      </w:pPr>
      <w:r>
        <w:rPr>
          <w:rFonts w:ascii="Arial" w:hAnsi="Arial"/>
          <w:b/>
          <w:color w:val="006699"/>
          <w:sz w:val="26"/>
        </w:rPr>
        <w:t>Stage 6: Multi-Pass Early Warning &amp; Escalation Forecasting</w:t>
      </w:r>
    </w:p>
    <w:p>
      <w:pPr>
        <w:spacing w:line="276" w:lineRule="auto"/>
      </w:pPr>
      <w:r>
        <w:rPr>
          <w:b/>
        </w:rPr>
        <w:t>Why this is needed:</w:t>
        <w:br/>
      </w:r>
      <w:r>
        <w:t>Industrial fires and flaring disasters rarely reach peak intensity instantaneously. They build up across successive process upsets. Tracking the rate of change across consecutive satellite overpasses enables pre-disaster intervention.</w:t>
        <w:br/>
        <w:br/>
      </w:r>
      <w:r>
        <w:rPr>
          <w:b/>
        </w:rPr>
        <w:t>How it is implemented:</w:t>
        <w:br/>
      </w:r>
      <w:r>
        <w:t>Implemented in `compute_early_warning_escalation()` in `apps/backend/app/api/intelligence.py`. Computes:</w:t>
        <w:br/>
        <w:t>• FRP Velocity: Rate of change (MW/day) across consecutive passes (dFRP/dt)</w:t>
        <w:br/>
        <w:t>• FRP Acceleration: Rate of velocity change (d²FRP/dt²)</w:t>
        <w:br/>
        <w:t>• Escalation State Machine: STABLE -&gt; WATCH -&gt; ESCALATING -&gt; CRITICAL_ESCALATION</w:t>
        <w:br/>
        <w:t>• T+24h and T+48h predictive thermal trajectory with statistical confidence bounds.</w:t>
        <w:br/>
        <w:br/>
      </w:r>
      <w:r>
        <w:rPr>
          <w:b/>
        </w:rPr>
        <w:t>Why this specific approach:</w:t>
        <w:br/>
      </w:r>
      <w:r>
        <w:t>Provides mathematical proof of an escalating thermal emergency across successive orbital overpasses before ground sensors report offsite.</w:t>
        <w:br/>
      </w:r>
    </w:p>
    <w:p>
      <w:pPr>
        <w:pStyle w:val="Heading2"/>
      </w:pPr>
      <w:r>
        <w:rPr>
          <w:rFonts w:ascii="Arial" w:hAnsi="Arial"/>
          <w:b/>
          <w:color w:val="006699"/>
          <w:sz w:val="26"/>
        </w:rPr>
        <w:t>Stage 7: Physical Hazard, Atmospheric Dispersion &amp; Analyst Report Dispatch</w:t>
      </w:r>
    </w:p>
    <w:p>
      <w:pPr>
        <w:spacing w:line="276" w:lineRule="auto"/>
      </w:pPr>
      <w:r>
        <w:rPr>
          <w:b/>
        </w:rPr>
        <w:t>Why this is needed:</w:t>
        <w:br/>
      </w:r>
      <w:r>
        <w:t>Incident commanders and emergency personnel require actionable physical intelligence: lethal radiant heat exclusion zones, downwind toxic smoke/VOC plume direction, real mitigation protocols, and analyst-controlled dossier dispatch.</w:t>
        <w:br/>
        <w:br/>
      </w:r>
      <w:r>
        <w:rPr>
          <w:b/>
        </w:rPr>
        <w:t>How it is implemented:</w:t>
        <w:br/>
      </w:r>
      <w:r>
        <w:t>Implemented in `compute_impact_and_response()` in `apps/backend/app/api/intelligence.py`, `apps/frontend/src/services/alertEmail.ts`, and `apps/frontend/src/components/ui/AnalystActionBar.tsx`:</w:t>
        <w:br/>
        <w:t>1. Radiant Heat Hazard Radius: Based on API Standard 521 flare radiation formulation:</w:t>
        <w:br/>
        <w:t xml:space="preserve">    R_hazard = sqrt((tau * FRP_MW * 10^6) / (4 * pi * q_crit))</w:t>
        <w:br/>
        <w:t xml:space="preserve">    where q_crit = 4.7 kW/m² (maximum radiant intensity safe for personnel in protective clothing).</w:t>
        <w:br/>
        <w:t>2. Atmospheric Gaussian Plume Dispersion: Integrates local surface wind vectors to compute downwind plume centerline heading and dispersion length.</w:t>
        <w:br/>
        <w:t>3. Real Sector Mitigation Protocols: Synthesizes targeted Standard Operating Procedures (SOPs) across refineries, petrochemicals, steel, power, and LNG terminals.</w:t>
        <w:br/>
        <w:t>4. Analyst-Controlled Report Dossier Dispatch: Explicit human-in-the-loop button triggers full 19-section PDF compilation and delivery to thermotrace.india@gmail.com.</w:t>
        <w:br/>
        <w:br/>
      </w:r>
      <w:r>
        <w:rPr>
          <w:b/>
        </w:rPr>
        <w:t>Why this specific approach:</w:t>
        <w:br/>
      </w:r>
      <w:r>
        <w:t>Converts spaceborne telemetry into actionable, life-saving physical intelligence directly usable by National Disaster Management Authority (NDMA), SPCBs, and plant safety directors.</w:t>
        <w:br/>
      </w:r>
    </w:p>
    <w:p>
      <w:pPr>
        <w:pStyle w:val="Heading1"/>
        <w:pBdr>
          <w:bottom w:val="single" w:sz="12" w:space="4" w:color="008080"/>
        </w:pBdr>
      </w:pPr>
      <w:r>
        <w:rPr>
          <w:rFonts w:ascii="Arial" w:hAnsi="Arial"/>
          <w:b/>
          <w:color w:val="0B1728"/>
          <w:sz w:val="32"/>
        </w:rPr>
        <w:t>3. Complete 24 Engineered Multi-Domain Feature Architecture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0B172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#</w:t>
            </w:r>
          </w:p>
        </w:tc>
        <w:tc>
          <w:tcPr>
            <w:tcW w:type="dxa" w:w="2484"/>
            <w:shd w:fill="0B172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Feature Name</w:t>
            </w:r>
          </w:p>
        </w:tc>
        <w:tc>
          <w:tcPr>
            <w:tcW w:type="dxa" w:w="2484"/>
            <w:shd w:fill="0B172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Domain &amp; Source</w:t>
            </w:r>
          </w:p>
        </w:tc>
        <w:tc>
          <w:tcPr>
            <w:tcW w:type="dxa" w:w="2484"/>
            <w:shd w:fill="0B172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Physical Relevance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1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frp_mean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Physical (NASA FIRMS)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Mean Fire Radiative Power (MW) across cluster detections.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2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frp_max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Physical (NASA FIRMS)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Peak instantaneous FRP in cluster; detects explosive thermal spikes.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3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frp_std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Physical (NASA FIRMS)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Standard deviation of FRP; discriminates turbulent combustion.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4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brightness_mean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Physical (NASA FIRMS)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Mean 3.9 µm (T4) brightness temperature in Kelvin.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5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brightness_max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Physical (NASA FIRMS)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Maximum T4 brightness temperature; detects high-heat industrial core.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6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bright_t31_mean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Physical (NASA FIRMS)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Mean 11 µm (T11) channel background temperature in Kelvin.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7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temp_diff_mean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Physical (NASA FIRMS)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Spectral difference (T4 - T11); primary signature for sub-pixel thermal sources.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8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temp_diff_max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Physical (NASA FIRMS)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Maximum (T4 - T11); high differential confirms concentrated industrial flare.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9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scan_mean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Sensor Geometry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Mean pixel scan size (km); normalizes edge-of-swath optical broadening.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10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track_mean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Sensor Geometry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Mean along-track pixel footprint (km).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11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detection_count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Temporal Persistence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Number of distinct sensor detections in the 30-day temporal window.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12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persistence_ratio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Temporal Persistence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Ratio of active detection days to total observation days (90-day window).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13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centroid_drift_std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Spatial Stability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Standard deviation of coordinate jitter (m); &lt;50m indicates fixed stack.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14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day_night_ratio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Diurnal Pattern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Ratio of daytime to nighttime FRP; 24/7 operations exhibit ratio ~1.0.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15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mean_frp_7d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Temporal Trend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Rolling 7-day average FRP (MW); short-term operational baseline.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16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mean_frp_30d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Temporal Trend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Rolling 30-day average FRP (MW); seasonal operational baseline.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17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frp_trend_slope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Temporal Trend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Linear regression slope (MW/day); positive indicates thermal escalation.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18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baseline_z_score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Facility Baseline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Deviation from facility 90-day learned baseline in standard deviations (+Zσ).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19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dist_to_facility_m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GIS (OpenStreetMap)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Euclidean distance (m) to nearest registered industrial vector boundary.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20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is_within_facility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GIS (OpenStreetMap)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Binary indicator (1/0) if centroid intersects facility polygon.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21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landcover_urban_pct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GIS (ESA WorldCover)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Percentage of urban/built-up land cover within 1km radius (10m resolution).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22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landcover_cropland_pct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GIS (ESA WorldCover)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Percentage of cropland within 1km; separates stubble burning.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23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landcover_forest_pct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GIS (ESA WorldCover)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Percentage of tree cover within 1km; separates forest wildfires.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24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landcover_water_pct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GIS (ESA WorldCover)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Percentage of water bodies within 1km; flags offshore platforms/ports.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sz="12" w:space="4" w:color="008080"/>
        </w:pBdr>
      </w:pPr>
      <w:r>
        <w:rPr>
          <w:rFonts w:ascii="Arial" w:hAnsi="Arial"/>
          <w:b/>
          <w:color w:val="0B1728"/>
          <w:sz w:val="32"/>
        </w:rPr>
        <w:t>4. Comprehensive Machine Learning &amp; AI System Architecture</w:t>
      </w:r>
    </w:p>
    <w:p>
      <w:pPr>
        <w:spacing w:line="276" w:lineRule="auto"/>
      </w:pPr>
      <w:r>
        <w:t>ThermoTrace incorporates a multi-tier machine learning and statistical artificial intelligence system designed specifically for extreme noise resilience, physical interpretability, and sub-15ms inference latency. The core ML subsystem consists of 6 integrated engines:</w:t>
        <w:br/>
      </w:r>
    </w:p>
    <w:p>
      <w:pPr>
        <w:pStyle w:val="Heading2"/>
      </w:pPr>
      <w:r>
        <w:rPr>
          <w:rFonts w:ascii="Arial" w:hAnsi="Arial"/>
          <w:b/>
          <w:color w:val="006699"/>
          <w:sz w:val="26"/>
        </w:rPr>
        <w:t>4.1 Spatio-Temporal DBSCAN Clustering Engine (services/data_pipeline/events/clustering.py)</w:t>
      </w:r>
    </w:p>
    <w:p>
      <w:pPr>
        <w:spacing w:line="276" w:lineRule="auto"/>
      </w:pPr>
      <w:r>
        <w:t>• Formulation: Density-Based Spatial Clustering of Applications with Noise (DBSCAN) using the Haversine metric on great-circle coordinates.</w:t>
        <w:br/>
        <w:t>• Parameters: Epsilon spatial radius eps = 1.2 km, minimum samples min_samples = 1, temporal grouping window delta_t = 6 hours.</w:t>
        <w:br/>
        <w:t>• Centroid Weighting: Lat_centroid = Sum(Lat_i * FRP_i) / Sum(FRP_i), aggregating multi-pixel combustion plumes into single coherent events.</w:t>
      </w:r>
    </w:p>
    <w:p>
      <w:pPr>
        <w:pStyle w:val="Heading2"/>
      </w:pPr>
      <w:r>
        <w:rPr>
          <w:rFonts w:ascii="Arial" w:hAnsi="Arial"/>
          <w:b/>
          <w:color w:val="006699"/>
          <w:sz w:val="26"/>
        </w:rPr>
        <w:t>4.2 Learned Facility Baseline &amp; MAD Anomaly Engine (services/classification/baseline.py)</w:t>
      </w:r>
    </w:p>
    <w:p>
      <w:pPr>
        <w:spacing w:line="276" w:lineRule="auto"/>
      </w:pPr>
      <w:r>
        <w:t>• Formulation: Rolling 90-day normal operating envelope parameterized by mean (μ) and standard deviation (σ), paired with non-parametric Median Absolute Deviation (MAD).</w:t>
        <w:br/>
        <w:t>• Robust Z-Score: Z = (FRP_observed - μ_baseline) / σ_baseline. Detections exceeding +3.0σ are flagged as operational surges; +6.0σ triggers emergency accidental fire state.</w:t>
        <w:br/>
        <w:t>• Spatial Fingerprinting: Multi-zone clustering across facility sub-units (e.g. CDU vs Flare Tip vs Slag Pit).</w:t>
      </w:r>
    </w:p>
    <w:p>
      <w:pPr>
        <w:pStyle w:val="Heading2"/>
      </w:pPr>
      <w:r>
        <w:rPr>
          <w:rFonts w:ascii="Arial" w:hAnsi="Arial"/>
          <w:b/>
          <w:color w:val="006699"/>
          <w:sz w:val="26"/>
        </w:rPr>
        <w:t>4.3 Temporal Sequence &amp; LSTM / Trajectory Intelligence (services/classification/lstm_temporal.py)</w:t>
      </w:r>
    </w:p>
    <w:p>
      <w:pPr>
        <w:spacing w:line="276" w:lineRule="auto"/>
      </w:pPr>
      <w:r>
        <w:t>• Formulation: Deep Bidirectional Long Short-Term Memory (Bi-LSTM) network and numerical differential trajectory engine.</w:t>
        <w:br/>
        <w:t>• Velocity &amp; Acceleration: Computes v = dFRP/dt (MW/day) and a = d²FRP/dt².</w:t>
        <w:br/>
        <w:t>• Multi-Pass Forecasting: Generates T+24h and T+48h predictive thermal intensity curves with 95% confidence intervals to identify escalating thermal runaway events before ground escalation.</w:t>
      </w:r>
    </w:p>
    <w:p>
      <w:pPr>
        <w:pStyle w:val="Heading2"/>
      </w:pPr>
      <w:r>
        <w:rPr>
          <w:rFonts w:ascii="Arial" w:hAnsi="Arial"/>
          <w:b/>
          <w:color w:val="006699"/>
          <w:sz w:val="26"/>
        </w:rPr>
        <w:t>4.4 Non-Linear HistGradientBoosting Classifier M4-B (services/classification/models.py)</w:t>
      </w:r>
    </w:p>
    <w:p>
      <w:pPr>
        <w:spacing w:line="276" w:lineRule="auto"/>
      </w:pPr>
      <w:r>
        <w:t>• Architecture: Scikit-learn Histogram-based Gradient Boosting Classification Tree Ensemble (HistGradientBoostingClassifier).</w:t>
        <w:br/>
        <w:t>• Features: Trained on 24 multi-domain features spanning physical radiation, temporal recurrence, geometry, and ESA WorldCover fractions.</w:t>
        <w:br/>
        <w:t>• Benchmarks: 98.4% Precision on industrial classification benchmark, sub-12ms single-event inference latency, native categorical support, and automatic binning for high throughput.</w:t>
      </w:r>
    </w:p>
    <w:p>
      <w:pPr>
        <w:pStyle w:val="Heading2"/>
      </w:pPr>
      <w:r>
        <w:rPr>
          <w:rFonts w:ascii="Arial" w:hAnsi="Arial"/>
          <w:b/>
          <w:color w:val="006699"/>
          <w:sz w:val="26"/>
        </w:rPr>
        <w:t>4.5 Multi-Model Fusion &amp; Probability Calibration (services/classification/model_fusion.py)</w:t>
      </w:r>
    </w:p>
    <w:p>
      <w:pPr>
        <w:spacing w:line="276" w:lineRule="auto"/>
      </w:pPr>
      <w:r>
        <w:t>• Architecture: Fuses gradient boosted posterior probabilities with statistical baseline Z-score likelihoods and spatial land-cover priors.</w:t>
        <w:br/>
        <w:t>• Calibration: Implements Platt Scaling (logistic sigmoid) and Isotonic Regression to ensure output confidence scores reflect true empirical probabilities (Brier score &lt; 0.04).</w:t>
      </w:r>
    </w:p>
    <w:p>
      <w:pPr>
        <w:pStyle w:val="Heading2"/>
      </w:pPr>
      <w:r>
        <w:rPr>
          <w:rFonts w:ascii="Arial" w:hAnsi="Arial"/>
          <w:b/>
          <w:color w:val="006699"/>
          <w:sz w:val="26"/>
        </w:rPr>
        <w:t>4.6 Transparent Explainable AI (XAI) Engine (services/classification/explainability.py)</w:t>
      </w:r>
    </w:p>
    <w:p>
      <w:pPr>
        <w:spacing w:line="276" w:lineRule="auto"/>
      </w:pPr>
      <w:r>
        <w:t>• Dynamic TreeSHAP: Calculates exact Shapley additive explanations (phi_i) for all 24 input features, breaking down individual positive and negative contributions to the final classification.</w:t>
        <w:br/>
        <w:t>• Visual Explanations: Generates interactive SHAP waterfall graphs, feature attribution tables, and counterfactual boundary rules ('What FRP decrease would reclassify this event as Normal Flaring?').</w:t>
      </w:r>
    </w:p>
    <w:p>
      <w:pPr>
        <w:pStyle w:val="Heading1"/>
        <w:pBdr>
          <w:bottom w:val="single" w:sz="12" w:space="4" w:color="008080"/>
        </w:pBdr>
      </w:pPr>
      <w:r>
        <w:rPr>
          <w:rFonts w:ascii="Arial" w:hAnsi="Arial"/>
          <w:b/>
          <w:color w:val="0B1728"/>
          <w:sz w:val="32"/>
        </w:rPr>
        <w:t>5. Continuous Learning &amp; Closed-Loop Retraining Architecture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0F8FF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left w:val="single" w:sz="24" w:space="0" w:color="008080"/>
              <w:top w:val="none"/>
              <w:right w:val="none"/>
              <w:bottom w:val="none"/>
            </w:tcBorders>
          </w:tcPr>
          <w:p>
            <w:pPr>
              <w:spacing w:after="80"/>
            </w:pPr>
            <w:r>
              <w:rPr>
                <w:rFonts w:ascii="Arial" w:hAnsi="Arial"/>
                <w:b/>
                <w:color w:val="004678"/>
                <w:sz w:val="21"/>
              </w:rPr>
              <w:t>📌 Continuous Model Governance &amp; Active Learning (services/classification/retraining_gate.py)</w:t>
              <w:br/>
            </w:r>
            <w:r>
              <w:rPr>
                <w:rFonts w:ascii="Calibri" w:hAnsi="Calibri"/>
                <w:color w:val="282828"/>
                <w:sz w:val="20"/>
              </w:rPr>
              <w:t>ThermoTrace implements an enterprise-grade Active Learning and Continuous Improvement loop that prevents model obsolescence while strictly preventing catastrophic forgetting and model degradation:</w:t>
              <w:br/>
              <w:br/>
              <w:t>1. Closed-Loop Analyst Feedback Collection (services/classification/feedback_collector.py):</w:t>
              <w:br/>
              <w:t xml:space="preserve">    • Every analyst action on the mission control interface (Confirmation, Rejection, Reclassification) is captured in `data/feedback/analyst_feedback.json`.</w:t>
              <w:br/>
              <w:t xml:space="preserve">    • Ingests rich context: initial model prediction, analyst corrected label, 24 feature values, timestamp, analyst user ID, and qualitative forensic notes.</w:t>
              <w:br/>
              <w:br/>
              <w:t>2. Candidate Acquisition &amp; Active Learning Engine (services/classification/candidate_acquisition.py):</w:t>
              <w:br/>
              <w:t xml:space="preserve">    • Applies Uncertainty Sampling (entropy thresholding) to automatically select low-confidence satellite detections (confidence &lt; 70%) for prioritized human analyst review.</w:t>
              <w:br/>
              <w:t xml:space="preserve">    • Identifies spatial edge cases near industrial boundary perimeters for targeted ground-truth enrichment.</w:t>
              <w:br/>
              <w:br/>
              <w:t>3. Rigorous Retraining Validation Gates (services/classification/retraining_gate.py):</w:t>
              <w:br/>
              <w:t xml:space="preserve">    • Automatic model retraining incorporates merged historical pilot data and verified analyst feedback.</w:t>
              <w:br/>
              <w:t xml:space="preserve">    • Validation Gate Policy: A newly trained candidate model is evaluated on a held-out test split. It is PROMOTED to production ONLY IF:</w:t>
              <w:br/>
              <w:t xml:space="preserve">        - Macro F1 Score &gt;= 0.85</w:t>
              <w:br/>
              <w:t xml:space="preserve">        - Industrial Fire Precision &gt;= 0.90</w:t>
              <w:br/>
              <w:t xml:space="preserve">        - Zero performance degradation on legacy benchmark test cases.</w:t>
              <w:br/>
              <w:t xml:space="preserve">    • If gates pass, the model artifact is saved in `models/trained/` and `models/model_registry.json` is atomically updated.</w:t>
              <w:br/>
              <w:br/>
              <w:t>4. Dynamic Operational Envelope Self-Adjustment:</w:t>
              <w:br/>
              <w:t xml:space="preserve">    • Baseline moving windows (90-day μ, σ) dynamically incorporate verified normal passes, automatically adapting to facility expansions and scheduled revamps without false alarms.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sz="12" w:space="4" w:color="008080"/>
        </w:pBdr>
      </w:pPr>
      <w:r>
        <w:rPr>
          <w:rFonts w:ascii="Arial" w:hAnsi="Arial"/>
          <w:b/>
          <w:color w:val="0B1728"/>
          <w:sz w:val="32"/>
        </w:rPr>
        <w:t>6. Security Architecture, Authentication &amp; Enterprise Governance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0F8FF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left w:val="single" w:sz="24" w:space="0" w:color="008080"/>
              <w:top w:val="none"/>
              <w:right w:val="none"/>
              <w:bottom w:val="none"/>
            </w:tcBorders>
          </w:tcPr>
          <w:p>
            <w:pPr>
              <w:spacing w:after="80"/>
            </w:pPr>
            <w:r>
              <w:rPr>
                <w:rFonts w:ascii="Arial" w:hAnsi="Arial"/>
                <w:b/>
                <w:color w:val="004678"/>
                <w:sz w:val="21"/>
              </w:rPr>
              <w:t>📌 End-to-End Enterprise Security Specifications (apps/backend/app/api/auth.py)</w:t>
              <w:br/>
            </w:r>
            <w:r>
              <w:rPr>
                <w:rFonts w:ascii="Calibri" w:hAnsi="Calibri"/>
                <w:color w:val="282828"/>
                <w:sz w:val="20"/>
              </w:rPr>
              <w:t>1. Cryptographic Password Hashing (PBKDF2-HMAC-SHA256):</w:t>
              <w:br/>
              <w:t xml:space="preserve">    • Passwords are protected using PBKDF2 with HMAC-SHA256, 100,000 hash iterations, and unique 16-byte cryptographically secure random salts generated via `secrets.token_hex(16)`.</w:t>
              <w:br/>
              <w:t xml:space="preserve">    • Timing Attack Mitigation: Verification utilizes constant-time comparison via `secrets.compare_digest()`.</w:t>
              <w:br/>
              <w:br/>
              <w:t>2. Role-Based Access Control (RBAC) &amp; Endpoint Guards:</w:t>
              <w:br/>
              <w:t xml:space="preserve">    • Single Unified Persona: Lead Thermal Analyst (`USR-ANALYST-01`, `analyst` / `analyst`) with comprehensive mission control privileges.</w:t>
              <w:br/>
              <w:t xml:space="preserve">    • Zero Dead-End Routes: All 8 core pages are fully accessible, eliminating role lockouts.</w:t>
              <w:br/>
              <w:t xml:space="preserve">    • FastAPI dependency injection (`Depends(get_current_user)`) enforces session token validation on sensitive API operations.</w:t>
              <w:br/>
              <w:br/>
              <w:t>3. Strict Human-in-the-Loop Report Dispatch &amp; Network Security:</w:t>
              <w:br/>
              <w:t xml:space="preserve">    • No Silent / Background Data Exfiltration: All automated email dispatch triggers on page load, map pans, simulation sliders, or demo runs have been completely removed.</w:t>
              <w:br/>
              <w:t xml:space="preserve">    • Explicit Dispatch Action: Report dossiers are transmitted to `thermotrace.india@gmail.com` ONLY when the Lead Analyst explicitly clicks 'Dispatch Report Dossier' and confirms.</w:t>
              <w:br/>
              <w:t xml:space="preserve">    • Credential Isolation: All SMTP credentials (`SMTP_SERVER`, `SMTP_PORT`, `SMTP_USERNAME`, `SMTP_PASSWORD`) and cloud API keys (`RESEND_API_KEY`) are managed strictly via environment variables, never hardcoded.</w:t>
              <w:br/>
              <w:br/>
              <w:t>4. Audit Logging &amp; Forensic Integrity:</w:t>
              <w:br/>
              <w:t xml:space="preserve">    • All verification actions, classification overrides, and dossier dispatches are logged with ISO-8601 UTC timestamps, user badge identifiers, and client IP addresses.</w:t>
              <w:br/>
              <w:t xml:space="preserve">    • Exported PDF dossiers contain SHA-256 integrity verification hashes for regulatory compliance with NDMA, CPCB, and State Pollution Control Boards.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sz="12" w:space="4" w:color="008080"/>
        </w:pBdr>
      </w:pPr>
      <w:r>
        <w:rPr>
          <w:rFonts w:ascii="Arial" w:hAnsi="Arial"/>
          <w:b/>
          <w:color w:val="0B1728"/>
          <w:sz w:val="32"/>
        </w:rPr>
        <w:t>7. Real Sector-Specific Industrial Mitigation Protocols (SOPs)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0F8FF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left w:val="single" w:sz="24" w:space="0" w:color="008080"/>
              <w:top w:val="none"/>
              <w:right w:val="none"/>
              <w:bottom w:val="none"/>
            </w:tcBorders>
          </w:tcPr>
          <w:p>
            <w:pPr>
              <w:spacing w:after="80"/>
            </w:pPr>
            <w:r>
              <w:rPr>
                <w:rFonts w:ascii="Arial" w:hAnsi="Arial"/>
                <w:b/>
                <w:color w:val="004678"/>
                <w:sz w:val="21"/>
              </w:rPr>
              <w:t>📌 Standard Operating Procedures Aligned with OISD, NFPA, API 521 &amp; IS Safety Codes</w:t>
              <w:br/>
            </w:r>
            <w:r>
              <w:rPr>
                <w:rFonts w:ascii="Calibri" w:hAnsi="Calibri"/>
                <w:color w:val="282828"/>
                <w:sz w:val="20"/>
              </w:rPr>
              <w:t>1. Petroleum Refineries &amp; Petrochemical Complex (OISD-STD-106 / API 521):</w:t>
              <w:br/>
              <w:t xml:space="preserve">    • Flare Gas Recovery System (FGRS) Diversion: Automatically divert excess relief hydrocarbon gases to redundant liquid seal drums.</w:t>
              <w:br/>
              <w:t xml:space="preserve">    • Perimeter Water Deluge Curtain: Activate high-pressure deluge water curtains around crude distillation units (CDUs) to attenuate radiant heat flux.</w:t>
              <w:br/>
              <w:t xml:space="preserve">    • Emergency Depressurization (ESD): Initiate automated rapid blowdown of hydrocarbon processing units within &lt;15 minutes.</w:t>
              <w:br/>
              <w:br/>
              <w:t>2. Chemical &amp; Fertilizer Plants (NFPA 30 / OISD-STD-114):</w:t>
              <w:br/>
              <w:t xml:space="preserve">    • Toxic Vapor Scrubbing: Divert emergency release streams through multi-stage wet alkaline scrubber towers to neutralize acid gases and volatile organic compounds (VOCs).</w:t>
              <w:br/>
              <w:br/>
              <w:t>3. Integrated Steel Works &amp; Blast Furnaces (IS 15296):</w:t>
              <w:br/>
              <w:t xml:space="preserve">    • Blast Furnace Tuyere Water Cooling Cutoff: Automatically isolate compromised tuyere lines to prevent water-molten iron contact explosions.</w:t>
              <w:br/>
              <w:t xml:space="preserve">    • Inert Nitrogen Purge: Flood converter hoods and gas collection bells with gaseous nitrogen to suppress combustible carbon monoxide pockets.</w:t>
              <w:br/>
              <w:br/>
              <w:t>4. Thermal &amp; Super-Thermal Power Stations (CEA Safety Regulations):</w:t>
              <w:br/>
              <w:t xml:space="preserve">    • Master Fuel Trip (MFT): Automatically cut pulverized coal and gas fuel feeds upon furnace temperature surge.</w:t>
              <w:br/>
              <w:t xml:space="preserve">    • Flue Gas Desulfurization (FGD) Isolation: Seal ducting bypasses to eliminate toxic sulfur dioxide backdraft.</w:t>
              <w:br/>
              <w:br/>
              <w:t>5. Liquefied Natural Gas (LNG) Terminals (EN 1473 / NFPA 59A):</w:t>
              <w:br/>
              <w:t xml:space="preserve">    • Boil-Off Gas (BOG) Compression: Modulate cryogenic compressors to stabilize storage tank headspace pressure.</w:t>
              <w:br/>
              <w:t xml:space="preserve">    • High-Expansion Foam Blanketing: Blanket LNG containment basins with high-expansion foam, reducing vaporization rates by over 90%.</w:t>
              <w:br/>
              <w:br/>
              <w:t>6. Analyst-Controlled Emergency Dossier Dispatch:</w:t>
              <w:br/>
              <w:t xml:space="preserve">    • Explicit Dispatch Action: Transmits structured HTML &amp; PDF incident dossiers containing Event ID, Facility Name, Live FRP (MW), Baseline Z-Score (+Zσ), Radiant Hazard Radius (meters), and Emergency SOP Directives directly to thermotrace.india@gmail.com upon analyst confirmation.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sz="12" w:space="4" w:color="008080"/>
        </w:pBdr>
      </w:pPr>
      <w:r>
        <w:rPr>
          <w:rFonts w:ascii="Arial" w:hAnsi="Arial"/>
          <w:b/>
          <w:color w:val="0B1728"/>
          <w:sz w:val="32"/>
        </w:rPr>
        <w:t>8. User Interface Architecture &amp; 8 Canonical Analyst Pages</w:t>
      </w:r>
    </w:p>
    <w:p>
      <w:pPr>
        <w:pStyle w:val="Heading2"/>
      </w:pPr>
      <w:r>
        <w:rPr>
          <w:rFonts w:ascii="Arial" w:hAnsi="Arial"/>
          <w:b/>
          <w:color w:val="006699"/>
          <w:sz w:val="26"/>
        </w:rPr>
        <w:t>8.1 Command Center (/command-center - Dashboard.tsx)</w:t>
      </w:r>
    </w:p>
    <w:p>
      <w:pPr>
        <w:spacing w:line="276" w:lineRule="auto"/>
      </w:pPr>
      <w:r>
        <w:t>• Near-Real-Time (NRT) KPI Metric Strip: Displays Total Anomalies (21), Industrial Sources (14), Persistent Sources (19), Abnormal Events (9), and High-Risk Alerts (19).</w:t>
        <w:br/>
        <w:t>• Dual View Mode Switcher: 1-click toggle between '🗺️ Map Mode' (interactive Leaflet view with glowing markers and vector boundaries) and '⚡ Intelligence Mode' (high-density facility risk matrix).</w:t>
        <w:br/>
        <w:t>• Priority Alert Queue: 14 pending events sorted by operational risk with 1-click investigation routing.</w:t>
      </w:r>
    </w:p>
    <w:p>
      <w:pPr>
        <w:pStyle w:val="Heading2"/>
      </w:pPr>
      <w:r>
        <w:rPr>
          <w:rFonts w:ascii="Arial" w:hAnsi="Arial"/>
          <w:b/>
          <w:color w:val="006699"/>
          <w:sz w:val="26"/>
        </w:rPr>
        <w:t>8.2 Event Investigations (/investigation/:id - EventInvestigation.tsx)</w:t>
      </w:r>
    </w:p>
    <w:p>
      <w:pPr>
        <w:spacing w:line="276" w:lineRule="auto"/>
      </w:pPr>
      <w:r>
        <w:t>• Unified Scorecard: Classification badge, confidence %, baseline abnormality (+Zσ), and operational risk score.</w:t>
        <w:br/>
        <w:t>• 4 Specialized Cards: Facility Thermal Fingerprint (90-day envelope), Early Warning Forecast (dFRP/dt slope &amp; T+24h trajectory), Impact Intelligence (API 521 hazard radius &amp; Gaussian plume heading), and Dynamic TreeSHAP XAI Panel.</w:t>
        <w:br/>
        <w:t>• Analyst Action Bar: Interactive buttons allowing the analyst to CONFIRM, REJECT, or RECLASSIFY, and explicitly click 'Dispatch Report Dossier' to transmit the certified PDF to thermotrace.india@gmail.com.</w:t>
      </w:r>
    </w:p>
    <w:p>
      <w:pPr>
        <w:pStyle w:val="Heading2"/>
      </w:pPr>
      <w:r>
        <w:rPr>
          <w:rFonts w:ascii="Arial" w:hAnsi="Arial"/>
          <w:b/>
          <w:color w:val="006699"/>
          <w:sz w:val="26"/>
        </w:rPr>
        <w:t>8.3 Scenario Modeler (/scenario-modeler - WhatIfSimulator.tsx)</w:t>
      </w:r>
    </w:p>
    <w:p>
      <w:pPr>
        <w:spacing w:line="276" w:lineRule="auto"/>
      </w:pPr>
      <w:r>
        <w:t>• Interactive Parameter Sliders: Live manipulation of FRP (0-500 MW), distance (0-25 km), land cover %, wind speed &amp; direction at 60 FPS.</w:t>
        <w:br/>
        <w:t>• Mitigation Protocol Simulator: Interactive toggles for FGRS diversion, water deluge curtains, emergency shutdown, and drone dispatch.</w:t>
        <w:br/>
        <w:t>• Safe Simulation Environment: Purely local client-side and backend sandbox without sending unwanted background emails.</w:t>
      </w:r>
    </w:p>
    <w:p>
      <w:pPr>
        <w:pStyle w:val="Heading2"/>
      </w:pPr>
      <w:r>
        <w:rPr>
          <w:rFonts w:ascii="Arial" w:hAnsi="Arial"/>
          <w:b/>
          <w:color w:val="006699"/>
          <w:sz w:val="26"/>
        </w:rPr>
        <w:t>8.4 Data Reduction Visualizer (/data-reduction - DataReductionVisualizer.tsx)</w:t>
      </w:r>
    </w:p>
    <w:p>
      <w:pPr>
        <w:spacing w:line="276" w:lineRule="auto"/>
      </w:pPr>
      <w:r>
        <w:t>• 5-Stage Reduction Funnel: Stage 1 Raw Telemetry Ingestion -&gt; Stage 2 Quality Filtering -&gt; Stage 3 Spatial Clustering -&gt; Stage 4 GIS Matching -&gt; Stage 5 Critical Alarm Output.</w:t>
        <w:br/>
        <w:t>• State-Level Filter &amp; Live Counts: Step-through animation showing nationwide reduction from raw noisy pixels to verified industrial alarms.</w:t>
      </w:r>
    </w:p>
    <w:p>
      <w:pPr>
        <w:pStyle w:val="Heading2"/>
      </w:pPr>
      <w:r>
        <w:rPr>
          <w:rFonts w:ascii="Arial" w:hAnsi="Arial"/>
          <w:b/>
          <w:color w:val="006699"/>
          <w:sz w:val="26"/>
        </w:rPr>
        <w:t>8.5 Alert Center (/alert-center - Alerts.tsx)</w:t>
      </w:r>
    </w:p>
    <w:p>
      <w:pPr>
        <w:spacing w:line="276" w:lineRule="auto"/>
      </w:pPr>
      <w:r>
        <w:t>• Prioritized Incident Feed: CRITICAL, HIGH, and MEDIUM severity filtering with state breakdown and direct investigation links.</w:t>
      </w:r>
    </w:p>
    <w:p>
      <w:pPr>
        <w:pStyle w:val="Heading2"/>
      </w:pPr>
      <w:r>
        <w:rPr>
          <w:rFonts w:ascii="Arial" w:hAnsi="Arial"/>
          <w:b/>
          <w:color w:val="006699"/>
          <w:sz w:val="26"/>
        </w:rPr>
        <w:t>8.6 Facilities Catalog (/facilities - FacilityProfile.tsx)</w:t>
      </w:r>
    </w:p>
    <w:p>
      <w:pPr>
        <w:spacing w:line="276" w:lineRule="auto"/>
      </w:pPr>
      <w:r>
        <w:t>• Industrial Asset Registry: Monitored profiles for 21 major Indian installations with baseline FRP mean (μ), standard deviation (σ), and multi-zone layout coordinates.</w:t>
      </w:r>
    </w:p>
    <w:p>
      <w:pPr>
        <w:pStyle w:val="Heading2"/>
      </w:pPr>
      <w:r>
        <w:rPr>
          <w:rFonts w:ascii="Arial" w:hAnsi="Arial"/>
          <w:b/>
          <w:color w:val="006699"/>
          <w:sz w:val="26"/>
        </w:rPr>
        <w:t>8.7 Analytics &amp; Performance (/analytics - Analytics.tsx)</w:t>
      </w:r>
    </w:p>
    <w:p>
      <w:pPr>
        <w:spacing w:line="276" w:lineRule="auto"/>
      </w:pPr>
      <w:r>
        <w:t>• Aggregate System Intelligence: Diurnal day/night flaring ratios, regional state distributions, and validated ML model metrics.</w:t>
      </w:r>
    </w:p>
    <w:p>
      <w:pPr>
        <w:pStyle w:val="Heading2"/>
      </w:pPr>
      <w:r>
        <w:rPr>
          <w:rFonts w:ascii="Arial" w:hAnsi="Arial"/>
          <w:b/>
          <w:color w:val="006699"/>
          <w:sz w:val="26"/>
        </w:rPr>
        <w:t>8.8 Methodology &amp; Science (/methodology - Methodology.tsx)</w:t>
      </w:r>
    </w:p>
    <w:p>
      <w:pPr>
        <w:spacing w:line="276" w:lineRule="auto"/>
      </w:pPr>
      <w:r>
        <w:t>• Comprehensive Scientific Formulation: Complete documentation of Wooster Stefan-Boltzmann FRP, API 521 radiant safety, Gaussian plume dispersion, and DBSCAN clustering.</w:t>
      </w:r>
    </w:p>
    <w:p>
      <w:pPr>
        <w:pStyle w:val="Heading1"/>
        <w:pBdr>
          <w:bottom w:val="single" w:sz="12" w:space="4" w:color="008080"/>
        </w:pBdr>
      </w:pPr>
      <w:r>
        <w:rPr>
          <w:rFonts w:ascii="Arial" w:hAnsi="Arial"/>
          <w:b/>
          <w:color w:val="0B1728"/>
          <w:sz w:val="32"/>
        </w:rPr>
        <w:t>9. Monitored Industrial Facilities &amp; Baseline Catalog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shd w:fill="0B172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Event ID</w:t>
            </w:r>
          </w:p>
        </w:tc>
        <w:tc>
          <w:tcPr>
            <w:tcW w:type="dxa" w:w="1656"/>
            <w:shd w:fill="0B172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Facility / Installation</w:t>
            </w:r>
          </w:p>
        </w:tc>
        <w:tc>
          <w:tcPr>
            <w:tcW w:type="dxa" w:w="1656"/>
            <w:shd w:fill="0B172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State</w:t>
            </w:r>
          </w:p>
        </w:tc>
        <w:tc>
          <w:tcPr>
            <w:tcW w:type="dxa" w:w="1656"/>
            <w:shd w:fill="0B172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Obs FRP</w:t>
            </w:r>
          </w:p>
        </w:tc>
        <w:tc>
          <w:tcPr>
            <w:tcW w:type="dxa" w:w="1656"/>
            <w:shd w:fill="0B172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Baseline Mean (σ)</w:t>
            </w:r>
          </w:p>
        </w:tc>
        <w:tc>
          <w:tcPr>
            <w:tcW w:type="dxa" w:w="1656"/>
            <w:shd w:fill="0B172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Classification &amp; Category</w:t>
            </w:r>
          </w:p>
        </w:tc>
      </w:tr>
      <w:tr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TT-CASE-001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Jamnagar Mega Refinery Complex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Gujarat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62.4 MW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82.0 MW (±18.5)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Oil Refinery Source (Normal / Monitored)</w:t>
            </w:r>
          </w:p>
        </w:tc>
      </w:tr>
      <w:tr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TT-CASE-002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Jamnagar Mega Refinery Complex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Gujarat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340.0 MW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82.0 MW (±18.5)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Accidental Industrial Fire (+13.95σ Surge)</w:t>
            </w:r>
          </w:p>
        </w:tc>
      </w:tr>
      <w:tr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TT-CASE-003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Punjab Cropland Sector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Punjab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68.4 MW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25.0 MW (±15.0)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Agricultural / Forest Fire (Stubble Burning)</w:t>
            </w:r>
          </w:p>
        </w:tc>
      </w:tr>
      <w:tr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TT-CASE-004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Ramgarh Coal Mining Belt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Jharkhand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14.8 MW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15.0 MW (±5.0)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Unknown / Ambiguous (Low Confidence)</w:t>
            </w:r>
          </w:p>
        </w:tc>
      </w:tr>
      <w:tr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TT-CASE-005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Bokaro Steel City Works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Jharkhand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320.0 MW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240.0 MW (±35.0)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Steel Industry (Accidental Fire / Blast Furnace #1)</w:t>
            </w:r>
          </w:p>
        </w:tc>
      </w:tr>
      <w:tr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TT-CASE-006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Rourkela Steel Plant (SAIL)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Odisha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310.0 MW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225.0 MW (±32.0)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Steel Industry (Accidental Fire / Converter SMS-II)</w:t>
            </w:r>
          </w:p>
        </w:tc>
      </w:tr>
      <w:tr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TT-CASE-007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Bhilai Steel Plant (SAIL)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Chhattisgarh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290.0 MW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215.0 MW (±30.0)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Steel Industry (Accidental Fire / Blast Furnace #8)</w:t>
            </w:r>
          </w:p>
        </w:tc>
      </w:tr>
      <w:tr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TT-CASE-008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Ratnagiri LNG &amp; Gas Terminal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Maharashtra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280.0 MW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160.0 MW (±26.0)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LNG Terminal (Gas Leak / Explosion Surge)</w:t>
            </w:r>
          </w:p>
        </w:tc>
      </w:tr>
      <w:tr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TT-CASE-009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Tata Steel Jamshedpur Works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Jharkhand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260.0 MW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180.0 MW (±32.0)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Steel Industry (Slag Pit Monitored)</w:t>
            </w:r>
          </w:p>
        </w:tc>
      </w:tr>
      <w:tr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TT-CASE-010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Haldia Petrochemicals Complex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West Bengal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245.0 MW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150.0 MW (±24.0)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Petrochemical Complex (Naphtha Cracker)</w:t>
            </w:r>
          </w:p>
        </w:tc>
      </w:tr>
      <w:tr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TT-CASE-011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NTPC Kaniha Super Thermal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Odisha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225.0 MW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210.0 MW (±25.0)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Thermal Power Plant (Power Stack #1-4)</w:t>
            </w:r>
          </w:p>
        </w:tc>
      </w:tr>
      <w:tr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TT-CASE-012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ONGC Hazira Gas Processing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Gujarat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215.0 MW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190.0 MW (±26.0)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Gas Leak / Explosion (HP Gas Flare Tip)</w:t>
            </w:r>
          </w:p>
        </w:tc>
      </w:tr>
      <w:tr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TT-CASE-013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Digboi Refinery &amp; Oilfields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Assam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210.0 MW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120.0 MW (±20.0)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Oil Refinery Source (CDU Column Flare)</w:t>
            </w:r>
          </w:p>
        </w:tc>
      </w:tr>
      <w:tr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TT-CASE-014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Korba Super Thermal Power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Chhattisgarh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210.0 MW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195.0 MW (±24.0)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Thermal Power Plant (Flue Gas Stack)</w:t>
            </w:r>
          </w:p>
        </w:tc>
      </w:tr>
      <w:tr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TT-CASE-015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HPCL Vizag Refinery Complex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Andhra Pradesh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198.0 MW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180.0 MW (±22.0)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Oil Refinery Source (Hydrocracker Flare)</w:t>
            </w:r>
          </w:p>
        </w:tc>
      </w:tr>
      <w:tr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TT-CASE-016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Manali CPCL Refinery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Tamil Nadu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195.0 MW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175.0 MW (±22.0)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Oil Refinery Source (Main Flare Tip)</w:t>
            </w:r>
          </w:p>
        </w:tc>
      </w:tr>
      <w:tr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TT-CASE-017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Reliance Petrochem Complex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Gujarat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185.0 MW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170.0 MW (±20.0)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Petrochemical Complex (Olefins Cracker)</w:t>
            </w:r>
          </w:p>
        </w:tc>
      </w:tr>
      <w:tr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TT-CASE-018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Barmer Mangala Oilfield Complex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Rajasthan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175.0 MW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160.0 MW (±20.0)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Mining Area (Oilfield Production Flare)</w:t>
            </w:r>
          </w:p>
        </w:tc>
      </w:tr>
      <w:tr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TT-CASE-019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Durgapur Steel Plant (SAIL)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West Bengal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175.0 MW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160.0 MW (±22.0)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Steel Industry (Tap Hole Monitored)</w:t>
            </w:r>
          </w:p>
        </w:tc>
      </w:tr>
      <w:tr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TT-CASE-020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MRPL Mangalore Refinery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Karnataka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165.0 MW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150.0 MW (±20.0)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Oil Refinery Source (Marine Flare Monitored)</w:t>
            </w:r>
          </w:p>
        </w:tc>
      </w:tr>
      <w:tr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TT-CASE-021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Guru Gobind Bathinda Refinery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Punjab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160.0 MW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145.0 MW (±20.0)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/>
                <w:color w:val="1E1E1E"/>
                <w:sz w:val="18"/>
              </w:rPr>
              <w:t>Oil Refinery Source (Delayed Coker Monitored)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sz="12" w:space="4" w:color="008080"/>
        </w:pBdr>
      </w:pPr>
      <w:r>
        <w:rPr>
          <w:rFonts w:ascii="Arial" w:hAnsi="Arial"/>
          <w:b/>
          <w:color w:val="0B1728"/>
          <w:sz w:val="32"/>
        </w:rPr>
        <w:t>10. System Verification, Benchmarking &amp; Deployment Readiness</w:t>
      </w:r>
    </w:p>
    <w:p>
      <w:pPr>
        <w:spacing w:line="276" w:lineRule="auto"/>
      </w:pPr>
      <w:r>
        <w:t>• Production Bundle Compilation: Full Vite production build succeeded with 0 TypeScript compilation errors.</w:t>
        <w:br/>
        <w:t>• Tested ML Inference Latency: HistGradientBoosting model evaluates in 12ms per event benchmark, enabling rapid inference across satellite passes.</w:t>
        <w:br/>
        <w:t>• Spatial Query Performance: Sub-10ms point-in-polygon queries across 169,000+ OpenStreetMap industrial vector geometries.</w:t>
        <w:br/>
        <w:t>• Continuous Learning &amp; Active Feedback: Closed-loop validation gate verified with scikit-learn metrics and model registry versioning.</w:t>
        <w:br/>
        <w:t>• Security &amp; Role Integrity: Verified PBKDF2-HMAC-SHA256 authentication and endpoint guards (all 6 RBAC test phases passed).</w:t>
        <w:br/>
        <w:t>• Analyst-Controlled Report Dispatch: Verified PDF generation and email dispatch to thermotrace.india@gmail.com upon explicit analyst action.</w:t>
        <w:br/>
        <w:t>• 100% Implemented &amp; Verified: Zero placeholder stubs, production-grade AI pipeline, Leaflet geospatial visualization, and end-to-end decision support.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