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B527" w14:textId="77777777" w:rsidR="000603F4" w:rsidRPr="000603F4" w:rsidRDefault="000603F4" w:rsidP="000603F4">
      <w:r w:rsidRPr="000603F4">
        <w:t xml:space="preserve">To build a real-time revenue tracker for the </w:t>
      </w:r>
      <w:r w:rsidRPr="000603F4">
        <w:rPr>
          <w:b/>
          <w:bCs/>
        </w:rPr>
        <w:t>Panama City Treasurer</w:t>
      </w:r>
      <w:r w:rsidRPr="000603F4">
        <w:t>, you need an architecture that maps local municipal revenue streams, automates data collection, and updates a dashboard dynamically.</w:t>
      </w:r>
    </w:p>
    <w:p w14:paraId="506064FF" w14:textId="77777777" w:rsidR="000603F4" w:rsidRPr="000603F4" w:rsidRDefault="000603F4" w:rsidP="000603F4">
      <w:r w:rsidRPr="000603F4">
        <w:t xml:space="preserve">The strategy below outlines how to organize the revenue streams and build the technical tracker to achieve </w:t>
      </w:r>
      <w:r w:rsidRPr="000603F4">
        <w:rPr>
          <w:b/>
          <w:bCs/>
        </w:rPr>
        <w:t>real-time reporting</w:t>
      </w:r>
      <w:r w:rsidRPr="000603F4">
        <w:t xml:space="preserve"> for the upcoming fiscal year.</w:t>
      </w:r>
    </w:p>
    <w:p w14:paraId="1D0F5D96" w14:textId="77777777" w:rsidR="000603F4" w:rsidRPr="000603F4" w:rsidRDefault="000603F4" w:rsidP="000603F4">
      <w:r w:rsidRPr="000603F4">
        <w:pict w14:anchorId="63FB8ABF">
          <v:rect id="_x0000_i1031" style="width:0;height:1.5pt" o:hralign="center" o:hrstd="t" o:hr="t" fillcolor="#a0a0a0" stroked="f"/>
        </w:pict>
      </w:r>
    </w:p>
    <w:p w14:paraId="7185F9E3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>Step 1: Map the Panama City Revenue Streams</w:t>
      </w:r>
    </w:p>
    <w:p w14:paraId="3BD074B9" w14:textId="77777777" w:rsidR="000603F4" w:rsidRPr="000603F4" w:rsidRDefault="000603F4" w:rsidP="000603F4">
      <w:r w:rsidRPr="000603F4">
        <w:t xml:space="preserve">Before setting up the dashboard, you must map the data buckets according to how </w:t>
      </w:r>
      <w:hyperlink r:id="rId5" w:tgtFrame="_blank" w:history="1">
        <w:r w:rsidRPr="000603F4">
          <w:rPr>
            <w:rStyle w:val="Hyperlink"/>
          </w:rPr>
          <w:t>Panama City, FL</w:t>
        </w:r>
      </w:hyperlink>
      <w:r w:rsidRPr="000603F4">
        <w:t xml:space="preserve"> structures its municipal ledger: [</w:t>
      </w:r>
      <w:hyperlink r:id="rId6" w:history="1">
        <w:r w:rsidRPr="000603F4">
          <w:rPr>
            <w:rStyle w:val="Hyperlink"/>
          </w:rPr>
          <w:t>1</w:t>
        </w:r>
      </w:hyperlink>
      <w:r w:rsidRPr="000603F4">
        <w:t xml:space="preserve">, </w:t>
      </w:r>
      <w:hyperlink r:id="rId7" w:history="1">
        <w:r w:rsidRPr="000603F4">
          <w:rPr>
            <w:rStyle w:val="Hyperlink"/>
          </w:rPr>
          <w:t>2</w:t>
        </w:r>
      </w:hyperlink>
      <w:r w:rsidRPr="000603F4">
        <w:t>]</w:t>
      </w:r>
    </w:p>
    <w:p w14:paraId="471AAF67" w14:textId="77777777" w:rsidR="000603F4" w:rsidRPr="000603F4" w:rsidRDefault="000603F4" w:rsidP="000603F4">
      <w:pPr>
        <w:numPr>
          <w:ilvl w:val="0"/>
          <w:numId w:val="1"/>
        </w:numPr>
      </w:pPr>
      <w:r w:rsidRPr="000603F4">
        <w:rPr>
          <w:b/>
          <w:bCs/>
        </w:rPr>
        <w:t>General Fund Revenue:</w:t>
      </w:r>
    </w:p>
    <w:p w14:paraId="65C7E638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Ad Valorem (Property) Taxes</w:t>
      </w:r>
      <w:r w:rsidRPr="000603F4">
        <w:t xml:space="preserve"> (driven by property valuations).</w:t>
      </w:r>
    </w:p>
    <w:p w14:paraId="40D7F073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Local Option Sales Taxes</w:t>
      </w:r>
      <w:r w:rsidRPr="000603F4">
        <w:t xml:space="preserve"> (discretionary sales tax allocations).</w:t>
      </w:r>
    </w:p>
    <w:p w14:paraId="37303A27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Franchise Fees &amp; Utility Taxes</w:t>
      </w:r>
      <w:r w:rsidRPr="000603F4">
        <w:t xml:space="preserve"> (electricity, gas, telecommunications).</w:t>
      </w:r>
    </w:p>
    <w:p w14:paraId="5033C3DB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Permit &amp; License Fees</w:t>
      </w:r>
      <w:r w:rsidRPr="000603F4">
        <w:t xml:space="preserve"> (building permits, business licenses). [</w:t>
      </w:r>
      <w:hyperlink r:id="rId8" w:history="1">
        <w:r w:rsidRPr="000603F4">
          <w:rPr>
            <w:rStyle w:val="Hyperlink"/>
          </w:rPr>
          <w:t>1</w:t>
        </w:r>
      </w:hyperlink>
      <w:r w:rsidRPr="000603F4">
        <w:t>]</w:t>
      </w:r>
    </w:p>
    <w:p w14:paraId="6CED92A8" w14:textId="77777777" w:rsidR="000603F4" w:rsidRPr="000603F4" w:rsidRDefault="000603F4" w:rsidP="000603F4">
      <w:pPr>
        <w:numPr>
          <w:ilvl w:val="0"/>
          <w:numId w:val="1"/>
        </w:numPr>
      </w:pPr>
      <w:r w:rsidRPr="000603F4">
        <w:rPr>
          <w:b/>
          <w:bCs/>
        </w:rPr>
        <w:t>Enterprise Funds (User Fees):</w:t>
      </w:r>
    </w:p>
    <w:p w14:paraId="712018A9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Water &amp; Sewer Utilities</w:t>
      </w:r>
      <w:r w:rsidRPr="000603F4">
        <w:t>.</w:t>
      </w:r>
    </w:p>
    <w:p w14:paraId="775EFF4E" w14:textId="77777777" w:rsidR="000603F4" w:rsidRPr="000603F4" w:rsidRDefault="000603F4" w:rsidP="000603F4">
      <w:pPr>
        <w:numPr>
          <w:ilvl w:val="1"/>
          <w:numId w:val="1"/>
        </w:numPr>
      </w:pPr>
      <w:r w:rsidRPr="000603F4">
        <w:rPr>
          <w:i/>
          <w:iCs/>
        </w:rPr>
        <w:t>Solid Waste/Environmental Services</w:t>
      </w:r>
      <w:r w:rsidRPr="000603F4">
        <w:t>. [</w:t>
      </w:r>
      <w:hyperlink r:id="rId9" w:history="1">
        <w:r w:rsidRPr="000603F4">
          <w:rPr>
            <w:rStyle w:val="Hyperlink"/>
          </w:rPr>
          <w:t>1</w:t>
        </w:r>
      </w:hyperlink>
      <w:r w:rsidRPr="000603F4">
        <w:t xml:space="preserve">, </w:t>
      </w:r>
      <w:hyperlink r:id="rId10" w:history="1">
        <w:r w:rsidRPr="000603F4">
          <w:rPr>
            <w:rStyle w:val="Hyperlink"/>
          </w:rPr>
          <w:t>2</w:t>
        </w:r>
      </w:hyperlink>
      <w:r w:rsidRPr="000603F4">
        <w:t>]</w:t>
      </w:r>
    </w:p>
    <w:p w14:paraId="3DF9AB80" w14:textId="77777777" w:rsidR="000603F4" w:rsidRDefault="000603F4" w:rsidP="000603F4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Special Revenue &amp; Restricted Funds:</w:t>
      </w:r>
    </w:p>
    <w:p w14:paraId="2E35101D" w14:textId="77777777" w:rsidR="000603F4" w:rsidRDefault="000603F4" w:rsidP="000603F4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Emphasis"/>
          <w:rFonts w:ascii="Roboto" w:hAnsi="Roboto"/>
        </w:rPr>
        <w:t>Community Redevelopment Agency (CRA) Funds</w:t>
      </w:r>
      <w:r>
        <w:rPr>
          <w:rStyle w:val="inqyif"/>
          <w:rFonts w:ascii="Roboto" w:hAnsi="Roboto"/>
        </w:rPr>
        <w:t xml:space="preserve"> (Tax Increment Financing/TIF).</w:t>
      </w:r>
    </w:p>
    <w:p w14:paraId="44B7EE5E" w14:textId="77777777" w:rsidR="000603F4" w:rsidRDefault="000603F4" w:rsidP="000603F4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Emphasis"/>
          <w:rFonts w:ascii="Roboto" w:hAnsi="Roboto"/>
        </w:rPr>
        <w:t>State-Shared Revenues</w:t>
      </w:r>
      <w:r>
        <w:rPr>
          <w:rStyle w:val="inqyif"/>
          <w:rFonts w:ascii="Roboto" w:hAnsi="Roboto"/>
        </w:rPr>
        <w:t xml:space="preserve"> (Half-cent sales tax, municipal fuel tax).</w:t>
      </w:r>
    </w:p>
    <w:p w14:paraId="5F407113" w14:textId="77777777" w:rsidR="000603F4" w:rsidRDefault="000603F4" w:rsidP="000603F4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Emphasis"/>
          <w:rFonts w:ascii="Roboto" w:hAnsi="Roboto"/>
        </w:rPr>
        <w:t>Federal &amp; State Grants</w:t>
      </w:r>
      <w:r>
        <w:rPr>
          <w:rStyle w:val="inqyif"/>
          <w:rFonts w:ascii="Roboto" w:hAnsi="Roboto"/>
        </w:rPr>
        <w:t xml:space="preserve"> (FEMA, infrastructure grants).</w:t>
      </w:r>
      <w:r>
        <w:rPr>
          <w:rFonts w:ascii="Roboto" w:hAnsi="Roboto"/>
        </w:rPr>
        <w:t xml:space="preserve"> [</w:t>
      </w:r>
      <w:hyperlink r:id="rId11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2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463ED971" w14:textId="77777777" w:rsidR="000603F4" w:rsidRDefault="000603F4" w:rsidP="000603F4">
      <w:pPr>
        <w:spacing w:before="480" w:after="480"/>
        <w:rPr>
          <w:rFonts w:ascii="Roboto" w:hAnsi="Roboto"/>
        </w:rPr>
      </w:pPr>
      <w:r>
        <w:rPr>
          <w:rFonts w:ascii="Roboto" w:hAnsi="Roboto"/>
        </w:rPr>
        <w:pict w14:anchorId="523E601A">
          <v:rect id="_x0000_i1033" style="width:0;height:1.5pt" o:hralign="center" o:hrstd="t" o:hr="t" fillcolor="#a0a0a0" stroked="f"/>
        </w:pict>
      </w:r>
    </w:p>
    <w:p w14:paraId="7428A155" w14:textId="77777777" w:rsidR="000603F4" w:rsidRDefault="000603F4" w:rsidP="000603F4">
      <w:pPr>
        <w:spacing w:after="0"/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Step 2: Establish the Tech Stack for Real-Time Reporting</w:t>
      </w:r>
    </w:p>
    <w:p w14:paraId="55C23F8D" w14:textId="77777777" w:rsidR="000603F4" w:rsidRDefault="000603F4" w:rsidP="000603F4">
      <w:pPr>
        <w:rPr>
          <w:rFonts w:ascii="Roboto" w:hAnsi="Roboto"/>
        </w:rPr>
      </w:pPr>
      <w:r>
        <w:rPr>
          <w:rFonts w:ascii="Roboto" w:hAnsi="Roboto"/>
        </w:rPr>
        <w:t xml:space="preserve">True "real-time" reporting in government usually means </w:t>
      </w:r>
      <w:r>
        <w:rPr>
          <w:rStyle w:val="Strong"/>
          <w:rFonts w:ascii="Roboto" w:hAnsi="Roboto"/>
        </w:rPr>
        <w:t>daily automated ledger refreshes</w:t>
      </w:r>
      <w:r>
        <w:rPr>
          <w:rFonts w:ascii="Roboto" w:hAnsi="Roboto"/>
        </w:rPr>
        <w:t xml:space="preserve"> rather than second-by-second updates, as municipal revenues clear through banks or state clearinghouses.</w:t>
      </w:r>
    </w:p>
    <w:p w14:paraId="180CDFDD" w14:textId="77777777" w:rsidR="000603F4" w:rsidRDefault="000603F4" w:rsidP="000603F4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Option A: Leveraging Existing Municipal ERP (Recommended)</w:t>
      </w:r>
    </w:p>
    <w:p w14:paraId="05E19351" w14:textId="77777777" w:rsidR="000603F4" w:rsidRPr="000603F4" w:rsidRDefault="000603F4" w:rsidP="000603F4">
      <w:r w:rsidRPr="000603F4">
        <w:lastRenderedPageBreak/>
        <w:t xml:space="preserve">If Panama City utilizes a modern government platform like </w:t>
      </w:r>
      <w:hyperlink r:id="rId13" w:tgtFrame="_blank" w:history="1">
        <w:proofErr w:type="spellStart"/>
        <w:r w:rsidRPr="000603F4">
          <w:rPr>
            <w:rStyle w:val="Hyperlink"/>
          </w:rPr>
          <w:t>OpenGov</w:t>
        </w:r>
        <w:proofErr w:type="spellEnd"/>
      </w:hyperlink>
      <w:r w:rsidRPr="000603F4">
        <w:t xml:space="preserve"> or </w:t>
      </w:r>
      <w:hyperlink r:id="rId14" w:tgtFrame="_blank" w:history="1">
        <w:r w:rsidRPr="000603F4">
          <w:rPr>
            <w:rStyle w:val="Hyperlink"/>
          </w:rPr>
          <w:t>Tyler Technologies ERP</w:t>
        </w:r>
      </w:hyperlink>
      <w:r w:rsidRPr="000603F4">
        <w:t xml:space="preserve">, you do not need to build from scratch. Use their built-in </w:t>
      </w:r>
      <w:r w:rsidRPr="000603F4">
        <w:rPr>
          <w:b/>
          <w:bCs/>
        </w:rPr>
        <w:t>API Connectors</w:t>
      </w:r>
      <w:r w:rsidRPr="000603F4">
        <w:t xml:space="preserve"> to stream ledger codes directly into a live dashboard. [</w:t>
      </w:r>
      <w:hyperlink r:id="rId15" w:history="1">
        <w:r w:rsidRPr="000603F4">
          <w:rPr>
            <w:rStyle w:val="Hyperlink"/>
          </w:rPr>
          <w:t>1</w:t>
        </w:r>
      </w:hyperlink>
      <w:r w:rsidRPr="000603F4">
        <w:t xml:space="preserve">, </w:t>
      </w:r>
      <w:hyperlink r:id="rId16" w:history="1">
        <w:r w:rsidRPr="000603F4">
          <w:rPr>
            <w:rStyle w:val="Hyperlink"/>
          </w:rPr>
          <w:t>2</w:t>
        </w:r>
      </w:hyperlink>
      <w:r w:rsidRPr="000603F4">
        <w:t>]</w:t>
      </w:r>
    </w:p>
    <w:p w14:paraId="39DD307E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>Option B: Custom Business Intelligence (BI) Pipeline</w:t>
      </w:r>
    </w:p>
    <w:p w14:paraId="759A26BB" w14:textId="77777777" w:rsidR="000603F4" w:rsidRPr="000603F4" w:rsidRDefault="000603F4" w:rsidP="000603F4">
      <w:r w:rsidRPr="000603F4">
        <w:t>If you are building an independent tracker tool for the Treasurer using cloud tools:</w:t>
      </w:r>
    </w:p>
    <w:p w14:paraId="35CCC41A" w14:textId="77777777" w:rsidR="000603F4" w:rsidRPr="000603F4" w:rsidRDefault="000603F4" w:rsidP="000603F4">
      <w:pPr>
        <w:numPr>
          <w:ilvl w:val="0"/>
          <w:numId w:val="3"/>
        </w:numPr>
      </w:pPr>
      <w:r w:rsidRPr="000603F4">
        <w:rPr>
          <w:b/>
          <w:bCs/>
        </w:rPr>
        <w:t>Data Warehouse (Storage):</w:t>
      </w:r>
      <w:r w:rsidRPr="000603F4">
        <w:t xml:space="preserve"> Route daily transaction files into a secure repository like Microsoft Azure or Google </w:t>
      </w:r>
      <w:proofErr w:type="spellStart"/>
      <w:r w:rsidRPr="000603F4">
        <w:t>BigQuery</w:t>
      </w:r>
      <w:proofErr w:type="spellEnd"/>
      <w:r w:rsidRPr="000603F4">
        <w:t>.</w:t>
      </w:r>
    </w:p>
    <w:p w14:paraId="0B8BF024" w14:textId="77777777" w:rsidR="000603F4" w:rsidRPr="000603F4" w:rsidRDefault="000603F4" w:rsidP="000603F4">
      <w:pPr>
        <w:numPr>
          <w:ilvl w:val="0"/>
          <w:numId w:val="3"/>
        </w:numPr>
      </w:pPr>
      <w:r w:rsidRPr="000603F4">
        <w:rPr>
          <w:b/>
          <w:bCs/>
        </w:rPr>
        <w:t>Automation Layer (ETL):</w:t>
      </w:r>
      <w:r w:rsidRPr="000603F4">
        <w:t xml:space="preserve"> Use </w:t>
      </w:r>
      <w:r w:rsidRPr="000603F4">
        <w:rPr>
          <w:b/>
          <w:bCs/>
        </w:rPr>
        <w:t>Microsoft Power Automate</w:t>
      </w:r>
      <w:r w:rsidRPr="000603F4">
        <w:t xml:space="preserve"> or Python scripts to automatically fetch, clean, and categorize bank lockbox deposits and state tax transfers daily.</w:t>
      </w:r>
    </w:p>
    <w:p w14:paraId="12884EA0" w14:textId="77777777" w:rsidR="000603F4" w:rsidRPr="000603F4" w:rsidRDefault="000603F4" w:rsidP="000603F4">
      <w:pPr>
        <w:numPr>
          <w:ilvl w:val="0"/>
          <w:numId w:val="3"/>
        </w:numPr>
      </w:pPr>
      <w:r w:rsidRPr="000603F4">
        <w:rPr>
          <w:b/>
          <w:bCs/>
        </w:rPr>
        <w:t>Visualization Layer (Dashboard):</w:t>
      </w:r>
      <w:r w:rsidRPr="000603F4">
        <w:t xml:space="preserve"> Use </w:t>
      </w:r>
      <w:r w:rsidRPr="000603F4">
        <w:rPr>
          <w:b/>
          <w:bCs/>
        </w:rPr>
        <w:t>Power BI</w:t>
      </w:r>
      <w:r w:rsidRPr="000603F4">
        <w:t xml:space="preserve"> or </w:t>
      </w:r>
      <w:r w:rsidRPr="000603F4">
        <w:rPr>
          <w:b/>
          <w:bCs/>
        </w:rPr>
        <w:t>Tableau</w:t>
      </w:r>
      <w:r w:rsidRPr="000603F4">
        <w:t xml:space="preserve"> to present the frontend to the Treasurer.</w:t>
      </w:r>
    </w:p>
    <w:p w14:paraId="2F21609E" w14:textId="77777777" w:rsidR="000603F4" w:rsidRPr="000603F4" w:rsidRDefault="000603F4" w:rsidP="000603F4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603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3: Design the Core Architecture (Database &amp; Schema)</w:t>
      </w:r>
    </w:p>
    <w:p w14:paraId="2E84522F" w14:textId="77777777" w:rsidR="000603F4" w:rsidRPr="000603F4" w:rsidRDefault="000603F4" w:rsidP="000603F4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603F4">
        <w:rPr>
          <w:rFonts w:ascii="Roboto" w:eastAsia="Times New Roman" w:hAnsi="Roboto" w:cs="Times New Roman"/>
          <w:kern w:val="0"/>
          <w14:ligatures w14:val="none"/>
        </w:rPr>
        <w:t>The underlying database must map every transaction to the city's exact chart of accounts. Use a simple schema for the tracking ledger: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102"/>
        <w:gridCol w:w="1081"/>
        <w:gridCol w:w="1311"/>
        <w:gridCol w:w="1561"/>
        <w:gridCol w:w="1562"/>
        <w:gridCol w:w="1326"/>
      </w:tblGrid>
      <w:tr w:rsidR="000603F4" w:rsidRPr="000603F4" w14:paraId="6FA7ECA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551A52D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Transaction Date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83A697E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Fund Type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3EDDED1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Account Code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789BBCF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Revenue Stream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9F6E3C4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Budgeted FY Amount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F8CC1CC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Actual Amount Received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5F3A906" w14:textId="77777777" w:rsidR="000603F4" w:rsidRPr="000603F4" w:rsidRDefault="000603F4" w:rsidP="000603F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Variance</w:t>
            </w:r>
          </w:p>
        </w:tc>
      </w:tr>
      <w:tr w:rsidR="000603F4" w:rsidRPr="000603F4" w14:paraId="63E1059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82F63BE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04/15/2027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D12412B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General Fund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05B03F5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311.000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EB3B939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Ad Valorem Taxes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FD5BD35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$21,000,000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5C8A40C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$145,000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D4A3BB3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($20,855,000)</w:t>
            </w:r>
          </w:p>
        </w:tc>
      </w:tr>
      <w:tr w:rsidR="000603F4" w:rsidRPr="000603F4" w14:paraId="7C88011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A12BBB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04/16/2027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177AA7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3C92AB7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343.300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788459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Water &amp; Sewer Fees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7A2A50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$14,500,000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B6330D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$42,000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D15A74" w14:textId="77777777" w:rsidR="000603F4" w:rsidRPr="000603F4" w:rsidRDefault="000603F4" w:rsidP="000603F4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0603F4">
              <w:rPr>
                <w:rFonts w:ascii="Roboto" w:eastAsia="Times New Roman" w:hAnsi="Roboto" w:cs="Times New Roman"/>
                <w:i/>
                <w:iCs/>
                <w:kern w:val="0"/>
                <w:sz w:val="21"/>
                <w:szCs w:val="21"/>
                <w14:ligatures w14:val="none"/>
              </w:rPr>
              <w:t>($14,458,000)</w:t>
            </w:r>
          </w:p>
        </w:tc>
      </w:tr>
    </w:tbl>
    <w:p w14:paraId="7C38C776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>Step 4: Build the Treasurer Dashboard View</w:t>
      </w:r>
    </w:p>
    <w:p w14:paraId="2948F93F" w14:textId="77777777" w:rsidR="000603F4" w:rsidRPr="000603F4" w:rsidRDefault="000603F4" w:rsidP="000603F4">
      <w:r w:rsidRPr="000603F4">
        <w:t>The dashboard should present actionable visual elements tailored for executive decision-making.</w:t>
      </w:r>
    </w:p>
    <w:p w14:paraId="6F8EB7A2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 xml:space="preserve">1. </w:t>
      </w:r>
      <w:proofErr w:type="gramStart"/>
      <w:r w:rsidRPr="000603F4">
        <w:rPr>
          <w:b/>
          <w:bCs/>
        </w:rPr>
        <w:t>Top-Line</w:t>
      </w:r>
      <w:proofErr w:type="gramEnd"/>
      <w:r w:rsidRPr="000603F4">
        <w:rPr>
          <w:b/>
          <w:bCs/>
        </w:rPr>
        <w:t xml:space="preserve"> KPI Cards</w:t>
      </w:r>
    </w:p>
    <w:p w14:paraId="5127A235" w14:textId="77777777" w:rsidR="000603F4" w:rsidRPr="000603F4" w:rsidRDefault="000603F4" w:rsidP="000603F4">
      <w:pPr>
        <w:numPr>
          <w:ilvl w:val="0"/>
          <w:numId w:val="4"/>
        </w:numPr>
      </w:pPr>
      <w:r w:rsidRPr="000603F4">
        <w:rPr>
          <w:b/>
          <w:bCs/>
        </w:rPr>
        <w:t>Total Revenue YTD vs. Budget Target:</w:t>
      </w:r>
      <w:r w:rsidRPr="000603F4">
        <w:t xml:space="preserve"> A large dollar amount displaying total funds captured against the total FY projection.</w:t>
      </w:r>
    </w:p>
    <w:p w14:paraId="7886BBDE" w14:textId="77777777" w:rsidR="000603F4" w:rsidRPr="000603F4" w:rsidRDefault="000603F4" w:rsidP="000603F4">
      <w:pPr>
        <w:numPr>
          <w:ilvl w:val="0"/>
          <w:numId w:val="4"/>
        </w:numPr>
      </w:pPr>
      <w:r w:rsidRPr="000603F4">
        <w:rPr>
          <w:b/>
          <w:bCs/>
        </w:rPr>
        <w:t>Run-Rate Percentage:</w:t>
      </w:r>
      <w:r w:rsidRPr="000603F4">
        <w:t xml:space="preserve"> A meter showing if the city has collected the expected percentage of revenue for the elapsed portion of the fiscal year (e.g., </w:t>
      </w:r>
      <w:proofErr w:type="gramStart"/>
      <w:r w:rsidRPr="000603F4">
        <w:t>at</w:t>
      </w:r>
      <w:proofErr w:type="gramEnd"/>
      <w:r w:rsidRPr="000603F4">
        <w:t xml:space="preserve"> month 6, collections should ideally sit near 50%).</w:t>
      </w:r>
    </w:p>
    <w:p w14:paraId="693B0229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>2. Visual Projections</w:t>
      </w:r>
    </w:p>
    <w:p w14:paraId="17CEBC08" w14:textId="77777777" w:rsidR="000603F4" w:rsidRPr="000603F4" w:rsidRDefault="000603F4" w:rsidP="000603F4">
      <w:r w:rsidRPr="000603F4">
        <w:t>Include a dual-axis visual trend line to help the Treasurer monitor monthly pacing.</w:t>
      </w:r>
    </w:p>
    <w:p w14:paraId="71105047" w14:textId="77777777" w:rsidR="000603F4" w:rsidRPr="000603F4" w:rsidRDefault="000603F4" w:rsidP="000603F4">
      <w:pPr>
        <w:rPr>
          <w:b/>
          <w:bCs/>
        </w:rPr>
      </w:pPr>
      <w:r w:rsidRPr="000603F4">
        <w:rPr>
          <w:b/>
          <w:bCs/>
        </w:rPr>
        <w:t>3. Breakdown by Revenue Stream</w:t>
      </w:r>
    </w:p>
    <w:p w14:paraId="19E497AD" w14:textId="77777777" w:rsidR="000603F4" w:rsidRPr="000603F4" w:rsidRDefault="000603F4" w:rsidP="000603F4">
      <w:pPr>
        <w:numPr>
          <w:ilvl w:val="0"/>
          <w:numId w:val="5"/>
        </w:numPr>
      </w:pPr>
      <w:proofErr w:type="spellStart"/>
      <w:r w:rsidRPr="000603F4">
        <w:rPr>
          <w:b/>
          <w:bCs/>
        </w:rPr>
        <w:lastRenderedPageBreak/>
        <w:t>Treemap</w:t>
      </w:r>
      <w:proofErr w:type="spellEnd"/>
      <w:r w:rsidRPr="000603F4">
        <w:rPr>
          <w:b/>
          <w:bCs/>
        </w:rPr>
        <w:t xml:space="preserve"> Chart:</w:t>
      </w:r>
      <w:r w:rsidRPr="000603F4">
        <w:t xml:space="preserve"> Display rectangles sized proportionally to each stream's contribution (e.g., a massive block for Property Tax, smaller blocks for Business Licenses). [</w:t>
      </w:r>
      <w:hyperlink r:id="rId17" w:history="1">
        <w:r w:rsidRPr="000603F4">
          <w:rPr>
            <w:rStyle w:val="Hyperlink"/>
          </w:rPr>
          <w:t>1</w:t>
        </w:r>
      </w:hyperlink>
      <w:r w:rsidRPr="000603F4">
        <w:t>]</w:t>
      </w:r>
    </w:p>
    <w:p w14:paraId="719B8044" w14:textId="77777777" w:rsidR="000603F4" w:rsidRPr="000603F4" w:rsidRDefault="000603F4" w:rsidP="000603F4">
      <w:pPr>
        <w:numPr>
          <w:ilvl w:val="0"/>
          <w:numId w:val="5"/>
        </w:numPr>
      </w:pPr>
      <w:r w:rsidRPr="000603F4">
        <w:rPr>
          <w:b/>
          <w:bCs/>
        </w:rPr>
        <w:t>Variance Warning Table:</w:t>
      </w:r>
      <w:r w:rsidRPr="000603F4">
        <w:t xml:space="preserve"> Create an automated sorting list highlighting accounts with a </w:t>
      </w:r>
      <w:r w:rsidRPr="000603F4">
        <w:rPr>
          <w:b/>
          <w:bCs/>
        </w:rPr>
        <w:t>negative variance of &gt;10%</w:t>
      </w:r>
      <w:r w:rsidRPr="000603F4">
        <w:t xml:space="preserve"> from the seasonal budget baseline. This gives the Treasurer early warning signs of deficit trends.</w:t>
      </w:r>
    </w:p>
    <w:p w14:paraId="27B890D9" w14:textId="77777777" w:rsidR="000603F4" w:rsidRPr="000603F4" w:rsidRDefault="000603F4" w:rsidP="000603F4">
      <w:pPr>
        <w:pStyle w:val="ListParagraph"/>
        <w:numPr>
          <w:ilvl w:val="0"/>
          <w:numId w:val="5"/>
        </w:numPr>
        <w:rPr>
          <w:rFonts w:ascii="Roboto" w:hAnsi="Roboto"/>
          <w:b/>
          <w:bCs/>
          <w:sz w:val="30"/>
          <w:szCs w:val="30"/>
        </w:rPr>
      </w:pPr>
      <w:r w:rsidRPr="000603F4">
        <w:rPr>
          <w:rFonts w:ascii="Roboto" w:hAnsi="Roboto"/>
          <w:b/>
          <w:bCs/>
          <w:sz w:val="30"/>
          <w:szCs w:val="30"/>
        </w:rPr>
        <w:t>Step 5: Implement Automated Alerts</w:t>
      </w:r>
    </w:p>
    <w:p w14:paraId="6E999917" w14:textId="77777777" w:rsidR="000603F4" w:rsidRPr="000603F4" w:rsidRDefault="000603F4" w:rsidP="000603F4">
      <w:pPr>
        <w:pStyle w:val="ListParagraph"/>
        <w:numPr>
          <w:ilvl w:val="0"/>
          <w:numId w:val="5"/>
        </w:numPr>
        <w:rPr>
          <w:rFonts w:ascii="Roboto" w:hAnsi="Roboto"/>
        </w:rPr>
      </w:pPr>
      <w:r w:rsidRPr="000603F4">
        <w:rPr>
          <w:rFonts w:ascii="Roboto" w:hAnsi="Roboto"/>
        </w:rPr>
        <w:t xml:space="preserve">Set up automated data triggers inside your BI software. If a critical milestone occurs—such as state-shared revenue arriving significantly lower than the </w:t>
      </w:r>
      <w:hyperlink r:id="rId18" w:tgtFrame="_blank" w:history="1">
        <w:r w:rsidRPr="000603F4">
          <w:rPr>
            <w:rStyle w:val="Hyperlink"/>
            <w:rFonts w:ascii="Roboto" w:hAnsi="Roboto"/>
          </w:rPr>
          <w:t>Florida EDR Estimates</w:t>
        </w:r>
      </w:hyperlink>
      <w:r w:rsidRPr="000603F4">
        <w:rPr>
          <w:rFonts w:ascii="Roboto" w:hAnsi="Roboto"/>
        </w:rPr>
        <w:t>—the tracker should automatically send an automated alert email to the Treasure</w:t>
      </w:r>
    </w:p>
    <w:p w14:paraId="00DBFF1D" w14:textId="77777777" w:rsidR="00B4496F" w:rsidRDefault="00B4496F"/>
    <w:sectPr w:rsidR="00B44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0182"/>
    <w:multiLevelType w:val="multilevel"/>
    <w:tmpl w:val="08B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E789F"/>
    <w:multiLevelType w:val="multilevel"/>
    <w:tmpl w:val="6C80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50228"/>
    <w:multiLevelType w:val="multilevel"/>
    <w:tmpl w:val="D1C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561C"/>
    <w:multiLevelType w:val="multilevel"/>
    <w:tmpl w:val="7BD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A0913"/>
    <w:multiLevelType w:val="multilevel"/>
    <w:tmpl w:val="8D5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827708">
    <w:abstractNumId w:val="2"/>
  </w:num>
  <w:num w:numId="2" w16cid:durableId="65500642">
    <w:abstractNumId w:val="3"/>
  </w:num>
  <w:num w:numId="3" w16cid:durableId="759255087">
    <w:abstractNumId w:val="1"/>
  </w:num>
  <w:num w:numId="4" w16cid:durableId="1174877419">
    <w:abstractNumId w:val="0"/>
  </w:num>
  <w:num w:numId="5" w16cid:durableId="2006087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F4"/>
    <w:rsid w:val="000603F4"/>
    <w:rsid w:val="00637C42"/>
    <w:rsid w:val="00B4496F"/>
    <w:rsid w:val="00B9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0082"/>
  <w15:chartTrackingRefBased/>
  <w15:docId w15:val="{3EE808F4-C2A9-49DB-882A-E9C71E60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3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3F4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060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0603F4"/>
  </w:style>
  <w:style w:type="character" w:styleId="Strong">
    <w:name w:val="Strong"/>
    <w:basedOn w:val="DefaultParagraphFont"/>
    <w:uiPriority w:val="22"/>
    <w:qFormat/>
    <w:rsid w:val="000603F4"/>
    <w:rPr>
      <w:b/>
      <w:bCs/>
    </w:rPr>
  </w:style>
  <w:style w:type="character" w:styleId="Emphasis">
    <w:name w:val="Emphasis"/>
    <w:basedOn w:val="DefaultParagraphFont"/>
    <w:uiPriority w:val="20"/>
    <w:qFormat/>
    <w:rsid w:val="000603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namacity.gov/854/About-CRA" TargetMode="External"/><Relationship Id="rId13" Type="http://schemas.openxmlformats.org/officeDocument/2006/relationships/hyperlink" Target="https://opengov.com/" TargetMode="External"/><Relationship Id="rId18" Type="http://schemas.openxmlformats.org/officeDocument/2006/relationships/hyperlink" Target="https://edr.state.fl.us/content/local-government/data/county-municipal/index.cf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anamacity.gov/AgendaCenter/ViewFile/Item/17393?fileID=37332" TargetMode="External"/><Relationship Id="rId12" Type="http://schemas.openxmlformats.org/officeDocument/2006/relationships/hyperlink" Target="https://www.panamacity.gov/854/About-CRA" TargetMode="External"/><Relationship Id="rId17" Type="http://schemas.openxmlformats.org/officeDocument/2006/relationships/hyperlink" Target="https://365financialanalyst.com/templates-and-models/15-ways-to-visualize-revenue-in-excel-templa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ylertech.com/solutions/public-administration/erp/revenue-managemen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anamacity.gov/854/About-CRA" TargetMode="External"/><Relationship Id="rId11" Type="http://schemas.openxmlformats.org/officeDocument/2006/relationships/hyperlink" Target="https://comptroller.tn.gov/office-functions/lgf/budgets/municipalities-counties-metros-utilities/municipalities/best-practice-preparation-tools.html" TargetMode="External"/><Relationship Id="rId5" Type="http://schemas.openxmlformats.org/officeDocument/2006/relationships/hyperlink" Target="https://www.panamacity.gov/" TargetMode="External"/><Relationship Id="rId15" Type="http://schemas.openxmlformats.org/officeDocument/2006/relationships/hyperlink" Target="https://opengov.com/" TargetMode="External"/><Relationship Id="rId10" Type="http://schemas.openxmlformats.org/officeDocument/2006/relationships/hyperlink" Target="https://www.panamacity.gov/AgendaCenter/ViewFile/Item/17393?fileID=3733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anamacity.gov/133/Publications" TargetMode="External"/><Relationship Id="rId14" Type="http://schemas.openxmlformats.org/officeDocument/2006/relationships/hyperlink" Target="https://www.tylertech.com/solutions/public-administration/erp/revenu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Glaze</dc:creator>
  <cp:keywords/>
  <dc:description/>
  <cp:lastModifiedBy>Leslie Glaze</cp:lastModifiedBy>
  <cp:revision>1</cp:revision>
  <dcterms:created xsi:type="dcterms:W3CDTF">2026-08-30T21:07:00Z</dcterms:created>
  <dcterms:modified xsi:type="dcterms:W3CDTF">2026-08-30T21:09:00Z</dcterms:modified>
</cp:coreProperties>
</file>