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F1AB0" w14:textId="77777777" w:rsidR="0036425B" w:rsidRPr="0036425B" w:rsidRDefault="0036425B" w:rsidP="0036425B">
      <w:pPr>
        <w:jc w:val="center"/>
        <w:rPr>
          <w:b/>
          <w:bCs/>
          <w:sz w:val="32"/>
          <w:szCs w:val="32"/>
        </w:rPr>
      </w:pPr>
      <w:r w:rsidRPr="0036425B">
        <w:rPr>
          <w:b/>
          <w:bCs/>
          <w:sz w:val="32"/>
          <w:szCs w:val="32"/>
        </w:rPr>
        <w:t>Navigational buoy</w:t>
      </w:r>
    </w:p>
    <w:p w14:paraId="34AFBA2A" w14:textId="77777777" w:rsidR="00B000D1" w:rsidRPr="00B000D1" w:rsidRDefault="00B000D1" w:rsidP="00B000D1">
      <w:r w:rsidRPr="00B000D1">
        <w:t xml:space="preserve">Tridel offers a comprehensive range of navigation buoys available in polyethylene (PE) and steel construction, with diameters ranging from 1.5 meters to 3 meters. Designed to meet diverse coastal, </w:t>
      </w:r>
      <w:proofErr w:type="spellStart"/>
      <w:r w:rsidRPr="00B000D1">
        <w:t>harbor</w:t>
      </w:r>
      <w:proofErr w:type="spellEnd"/>
      <w:r w:rsidRPr="00B000D1">
        <w:t>, and offshore navigation needs, these buoys deliver reliable performance, high visibility, and long service life in demanding marine environments.</w:t>
      </w:r>
    </w:p>
    <w:p w14:paraId="5485AA35" w14:textId="77777777" w:rsidR="00B000D1" w:rsidRPr="00B000D1" w:rsidRDefault="00B000D1" w:rsidP="00B000D1">
      <w:pPr>
        <w:rPr>
          <w:b/>
          <w:bCs/>
        </w:rPr>
      </w:pPr>
      <w:r w:rsidRPr="00B000D1">
        <w:rPr>
          <w:b/>
          <w:bCs/>
        </w:rPr>
        <w:t>Polyethylene (PE) Navigation Buoys</w:t>
      </w:r>
      <w:r w:rsidRPr="00B000D1">
        <w:rPr>
          <w:b/>
          <w:bCs/>
        </w:rPr>
        <w:t>:</w:t>
      </w:r>
    </w:p>
    <w:p w14:paraId="26DFA200" w14:textId="77777777" w:rsidR="00B000D1" w:rsidRPr="00B000D1" w:rsidRDefault="00B000D1" w:rsidP="00B000D1">
      <w:r w:rsidRPr="00B000D1">
        <w:t xml:space="preserve">Constructed using UV-stabilized, marine-grade PE shells and filled with closed-cell polyurethane foam, </w:t>
      </w:r>
      <w:proofErr w:type="spellStart"/>
      <w:r w:rsidRPr="00B000D1">
        <w:t>Tridel’s</w:t>
      </w:r>
      <w:proofErr w:type="spellEnd"/>
      <w:r w:rsidRPr="00B000D1">
        <w:t xml:space="preserve"> PE buoys are lightweight, unsinkable, and resistant to corrosion and marine growth. Their modular design allows for easy handling, transport, and maintenance.</w:t>
      </w:r>
    </w:p>
    <w:p w14:paraId="6C569F4E" w14:textId="77777777" w:rsidR="00B000D1" w:rsidRPr="00B000D1" w:rsidRDefault="00B000D1" w:rsidP="00B000D1">
      <w:pPr>
        <w:rPr>
          <w:b/>
          <w:bCs/>
        </w:rPr>
      </w:pPr>
      <w:r w:rsidRPr="00B000D1">
        <w:rPr>
          <w:b/>
          <w:bCs/>
        </w:rPr>
        <w:t>Steel Navigation Buoys</w:t>
      </w:r>
      <w:r w:rsidRPr="00B000D1">
        <w:rPr>
          <w:b/>
          <w:bCs/>
        </w:rPr>
        <w:t>:</w:t>
      </w:r>
    </w:p>
    <w:p w14:paraId="522A7436" w14:textId="77777777" w:rsidR="00B000D1" w:rsidRPr="00B000D1" w:rsidRDefault="00B000D1" w:rsidP="00B000D1">
      <w:r w:rsidRPr="00B000D1">
        <w:t xml:space="preserve">Engineered for heavy-duty applications, </w:t>
      </w:r>
      <w:proofErr w:type="spellStart"/>
      <w:r w:rsidRPr="00B000D1">
        <w:t>Tridel’s</w:t>
      </w:r>
      <w:proofErr w:type="spellEnd"/>
      <w:r w:rsidRPr="00B000D1">
        <w:t xml:space="preserve"> steel buoys are fabricated from marine-grade steel and coated with anti-corrosive epoxy systems. These buoys are ideal for locations requiring higher mooring loads, enhanced structural integrity, and longer deployment periods in open-sea conditions.</w:t>
      </w:r>
    </w:p>
    <w:p w14:paraId="41B925A4" w14:textId="77777777" w:rsidR="00B000D1" w:rsidRPr="00B000D1" w:rsidRDefault="00B000D1" w:rsidP="00B000D1"/>
    <w:p w14:paraId="76E5DF3D" w14:textId="77777777" w:rsidR="00B000D1" w:rsidRPr="00B000D1" w:rsidRDefault="00B000D1" w:rsidP="00B000D1">
      <w:pPr>
        <w:rPr>
          <w:b/>
          <w:bCs/>
        </w:rPr>
      </w:pPr>
      <w:r w:rsidRPr="00B000D1">
        <w:rPr>
          <w:b/>
          <w:bCs/>
        </w:rPr>
        <w:t>Key Features</w:t>
      </w:r>
    </w:p>
    <w:p w14:paraId="6BB21F1E" w14:textId="77777777" w:rsidR="00B000D1" w:rsidRPr="00B000D1" w:rsidRDefault="00B000D1" w:rsidP="00B000D1">
      <w:pPr>
        <w:numPr>
          <w:ilvl w:val="0"/>
          <w:numId w:val="2"/>
        </w:numPr>
      </w:pPr>
      <w:r w:rsidRPr="00B000D1">
        <w:t>Size Range: Diameters from 1.5 m to 3 m, adaptable for various visibility and site conditions.</w:t>
      </w:r>
    </w:p>
    <w:p w14:paraId="2B60BAC2" w14:textId="77777777" w:rsidR="00B000D1" w:rsidRPr="00B000D1" w:rsidRDefault="00B000D1" w:rsidP="00B000D1">
      <w:pPr>
        <w:numPr>
          <w:ilvl w:val="0"/>
          <w:numId w:val="2"/>
        </w:numPr>
      </w:pPr>
      <w:r w:rsidRPr="00B000D1">
        <w:t>Material Options:</w:t>
      </w:r>
    </w:p>
    <w:p w14:paraId="38E97DDE" w14:textId="77777777" w:rsidR="00B000D1" w:rsidRPr="00B000D1" w:rsidRDefault="00B000D1" w:rsidP="00B000D1">
      <w:pPr>
        <w:numPr>
          <w:ilvl w:val="1"/>
          <w:numId w:val="2"/>
        </w:numPr>
      </w:pPr>
      <w:r w:rsidRPr="00B000D1">
        <w:t>PE: Foam-filled, maintenance-free, ideal for corrosion-prone environments.</w:t>
      </w:r>
    </w:p>
    <w:p w14:paraId="708E7BDF" w14:textId="77777777" w:rsidR="00B000D1" w:rsidRPr="00B000D1" w:rsidRDefault="00B000D1" w:rsidP="00B000D1">
      <w:pPr>
        <w:numPr>
          <w:ilvl w:val="1"/>
          <w:numId w:val="2"/>
        </w:numPr>
      </w:pPr>
      <w:r w:rsidRPr="00B000D1">
        <w:t>Steel: Ballasted or foam-filled, high structural strength for offshore deployments.</w:t>
      </w:r>
    </w:p>
    <w:p w14:paraId="25330C21" w14:textId="77777777" w:rsidR="00B000D1" w:rsidRPr="00B000D1" w:rsidRDefault="00B000D1" w:rsidP="00B000D1">
      <w:pPr>
        <w:numPr>
          <w:ilvl w:val="0"/>
          <w:numId w:val="2"/>
        </w:numPr>
      </w:pPr>
      <w:r w:rsidRPr="00B000D1">
        <w:t>Mooring System: Customizable options including chain, rope, swivels, and load-rated mooring eyes.</w:t>
      </w:r>
    </w:p>
    <w:p w14:paraId="32651A0B" w14:textId="77777777" w:rsidR="00B000D1" w:rsidRPr="00B000D1" w:rsidRDefault="00B000D1" w:rsidP="00B000D1">
      <w:pPr>
        <w:numPr>
          <w:ilvl w:val="0"/>
          <w:numId w:val="2"/>
        </w:numPr>
      </w:pPr>
      <w:r w:rsidRPr="00B000D1">
        <w:t>Navigation Aids: Supports marine lanterns, AIS, radar reflectors, day marks, and monitoring systems.</w:t>
      </w:r>
    </w:p>
    <w:p w14:paraId="6BA4D97B" w14:textId="77777777" w:rsidR="00B000D1" w:rsidRPr="00B000D1" w:rsidRDefault="00B000D1" w:rsidP="00B000D1">
      <w:pPr>
        <w:numPr>
          <w:ilvl w:val="0"/>
          <w:numId w:val="2"/>
        </w:numPr>
      </w:pPr>
      <w:r w:rsidRPr="00B000D1">
        <w:t>Power Options: Solar-powered systems with integrated battery packs for autonomous operation.</w:t>
      </w:r>
    </w:p>
    <w:p w14:paraId="2E383A72" w14:textId="77777777" w:rsidR="00B000D1" w:rsidRPr="00B000D1" w:rsidRDefault="00B000D1" w:rsidP="00B000D1">
      <w:pPr>
        <w:numPr>
          <w:ilvl w:val="0"/>
          <w:numId w:val="2"/>
        </w:numPr>
      </w:pPr>
      <w:r w:rsidRPr="00B000D1">
        <w:t xml:space="preserve">Standards Compliance: Designed in accordance with IALA recommendations for shape, </w:t>
      </w:r>
      <w:proofErr w:type="spellStart"/>
      <w:r w:rsidRPr="00B000D1">
        <w:t>color</w:t>
      </w:r>
      <w:proofErr w:type="spellEnd"/>
      <w:r w:rsidRPr="00B000D1">
        <w:t>, light characteristics, and top marks.</w:t>
      </w:r>
    </w:p>
    <w:p w14:paraId="3E26FD82" w14:textId="77777777" w:rsidR="00B000D1" w:rsidRPr="00B000D1" w:rsidRDefault="00B000D1" w:rsidP="00B000D1"/>
    <w:p w14:paraId="78D832C0" w14:textId="77777777" w:rsidR="00B000D1" w:rsidRPr="00B000D1" w:rsidRDefault="00B000D1" w:rsidP="00B000D1">
      <w:pPr>
        <w:rPr>
          <w:b/>
          <w:bCs/>
        </w:rPr>
      </w:pPr>
      <w:r w:rsidRPr="00B000D1">
        <w:rPr>
          <w:b/>
          <w:bCs/>
        </w:rPr>
        <w:t>Applications</w:t>
      </w:r>
    </w:p>
    <w:p w14:paraId="191FD761" w14:textId="77777777" w:rsidR="00B000D1" w:rsidRPr="00B000D1" w:rsidRDefault="00B000D1" w:rsidP="00B000D1">
      <w:pPr>
        <w:numPr>
          <w:ilvl w:val="0"/>
          <w:numId w:val="3"/>
        </w:numPr>
      </w:pPr>
      <w:r w:rsidRPr="00B000D1">
        <w:t>Channel and fairway marking</w:t>
      </w:r>
    </w:p>
    <w:p w14:paraId="75965FCE" w14:textId="77777777" w:rsidR="00B000D1" w:rsidRPr="00B000D1" w:rsidRDefault="00B000D1" w:rsidP="00B000D1">
      <w:pPr>
        <w:numPr>
          <w:ilvl w:val="0"/>
          <w:numId w:val="3"/>
        </w:numPr>
      </w:pPr>
      <w:r w:rsidRPr="00B000D1">
        <w:t>Harbor entrances and anchorage zones</w:t>
      </w:r>
    </w:p>
    <w:p w14:paraId="24E64B30" w14:textId="77777777" w:rsidR="00B000D1" w:rsidRPr="00B000D1" w:rsidRDefault="00B000D1" w:rsidP="00B000D1">
      <w:pPr>
        <w:numPr>
          <w:ilvl w:val="0"/>
          <w:numId w:val="3"/>
        </w:numPr>
      </w:pPr>
      <w:r w:rsidRPr="00B000D1">
        <w:t>Offshore platforms and oil fields</w:t>
      </w:r>
    </w:p>
    <w:p w14:paraId="31DF32E6" w14:textId="77777777" w:rsidR="00B000D1" w:rsidRPr="00B000D1" w:rsidRDefault="00B000D1" w:rsidP="00B000D1">
      <w:pPr>
        <w:numPr>
          <w:ilvl w:val="0"/>
          <w:numId w:val="3"/>
        </w:numPr>
      </w:pPr>
      <w:r w:rsidRPr="00B000D1">
        <w:t>Aquaculture and fishing zones</w:t>
      </w:r>
    </w:p>
    <w:p w14:paraId="5AB07FD0" w14:textId="77777777" w:rsidR="00B000D1" w:rsidRPr="00B000D1" w:rsidRDefault="00B000D1" w:rsidP="00B000D1">
      <w:pPr>
        <w:numPr>
          <w:ilvl w:val="0"/>
          <w:numId w:val="3"/>
        </w:numPr>
      </w:pPr>
      <w:r w:rsidRPr="00B000D1">
        <w:t>Marine protected areas and environmental monitoring</w:t>
      </w:r>
    </w:p>
    <w:p w14:paraId="40243BBC" w14:textId="77777777" w:rsidR="0036425B" w:rsidRPr="00997F47" w:rsidRDefault="0036425B" w:rsidP="0036425B"/>
    <w:p w14:paraId="491467B9" w14:textId="11BA9F41" w:rsidR="00D54A77" w:rsidRDefault="004D2EFB">
      <w:r>
        <w:rPr>
          <w:noProof/>
        </w:rPr>
        <w:lastRenderedPageBreak/>
        <w:drawing>
          <wp:inline distT="0" distB="0" distL="0" distR="0" wp14:anchorId="5363715A" wp14:editId="5AE1565A">
            <wp:extent cx="5731510" cy="3836035"/>
            <wp:effectExtent l="0" t="0" r="2540" b="0"/>
            <wp:docPr id="14497675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0796A" wp14:editId="28EBA9BD">
            <wp:extent cx="5731510" cy="3549015"/>
            <wp:effectExtent l="0" t="0" r="2540" b="0"/>
            <wp:docPr id="1864539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3EAAAE" wp14:editId="1BE5BE08">
            <wp:extent cx="5731510" cy="3684905"/>
            <wp:effectExtent l="0" t="0" r="2540" b="0"/>
            <wp:docPr id="2004065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6A084" wp14:editId="69991500">
            <wp:extent cx="5731510" cy="3836035"/>
            <wp:effectExtent l="0" t="0" r="2540" b="0"/>
            <wp:docPr id="210199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E8B07C" wp14:editId="005948FA">
            <wp:extent cx="5731510" cy="3549015"/>
            <wp:effectExtent l="0" t="0" r="2540" b="0"/>
            <wp:docPr id="1510624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7584A" wp14:editId="3F7C2AF3">
            <wp:extent cx="5731510" cy="3442335"/>
            <wp:effectExtent l="0" t="0" r="2540" b="5715"/>
            <wp:docPr id="398392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930785" wp14:editId="6A804D0F">
            <wp:extent cx="5731510" cy="3549015"/>
            <wp:effectExtent l="0" t="0" r="2540" b="0"/>
            <wp:docPr id="1994202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43DBA" wp14:editId="7A491D7B">
            <wp:extent cx="5731510" cy="3549015"/>
            <wp:effectExtent l="0" t="0" r="2540" b="0"/>
            <wp:docPr id="16146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67D79"/>
    <w:multiLevelType w:val="multilevel"/>
    <w:tmpl w:val="C5EA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F3903"/>
    <w:multiLevelType w:val="multilevel"/>
    <w:tmpl w:val="F346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00466"/>
    <w:multiLevelType w:val="multilevel"/>
    <w:tmpl w:val="EEE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36192">
    <w:abstractNumId w:val="0"/>
  </w:num>
  <w:num w:numId="2" w16cid:durableId="732430591">
    <w:abstractNumId w:val="1"/>
  </w:num>
  <w:num w:numId="3" w16cid:durableId="136412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5B"/>
    <w:rsid w:val="001B2076"/>
    <w:rsid w:val="0036425B"/>
    <w:rsid w:val="00432E24"/>
    <w:rsid w:val="004D2EFB"/>
    <w:rsid w:val="00703554"/>
    <w:rsid w:val="00A216A0"/>
    <w:rsid w:val="00B000D1"/>
    <w:rsid w:val="00D17B3F"/>
    <w:rsid w:val="00D54A77"/>
    <w:rsid w:val="00F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D1EA"/>
  <w15:chartTrackingRefBased/>
  <w15:docId w15:val="{0D3A688E-18EE-4B0C-BD08-1E804B45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25B"/>
  </w:style>
  <w:style w:type="paragraph" w:styleId="Heading1">
    <w:name w:val="heading 1"/>
    <w:basedOn w:val="Normal"/>
    <w:next w:val="Normal"/>
    <w:link w:val="Heading1Char"/>
    <w:uiPriority w:val="9"/>
    <w:qFormat/>
    <w:rsid w:val="00364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28AA4E84A947AE40E9E760A9FD16" ma:contentTypeVersion="18" ma:contentTypeDescription="Create a new document." ma:contentTypeScope="" ma:versionID="fb8ce143b3cf5f35c4ae83e5251e9fb9">
  <xsd:schema xmlns:xsd="http://www.w3.org/2001/XMLSchema" xmlns:xs="http://www.w3.org/2001/XMLSchema" xmlns:p="http://schemas.microsoft.com/office/2006/metadata/properties" xmlns:ns3="f5cc30c5-a909-43fb-8b15-54a92270f649" xmlns:ns4="65d1fe90-2447-4310-beae-3affb20d7041" targetNamespace="http://schemas.microsoft.com/office/2006/metadata/properties" ma:root="true" ma:fieldsID="7b063be484afc902f01a4d13e46c4b6c" ns3:_="" ns4:_="">
    <xsd:import namespace="f5cc30c5-a909-43fb-8b15-54a92270f649"/>
    <xsd:import namespace="65d1fe90-2447-4310-beae-3affb20d70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c30c5-a909-43fb-8b15-54a92270f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1fe90-2447-4310-beae-3affb20d704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cc30c5-a909-43fb-8b15-54a92270f649" xsi:nil="true"/>
  </documentManagement>
</p:properties>
</file>

<file path=customXml/itemProps1.xml><?xml version="1.0" encoding="utf-8"?>
<ds:datastoreItem xmlns:ds="http://schemas.openxmlformats.org/officeDocument/2006/customXml" ds:itemID="{C0AF019D-C6BB-4668-863C-4B85AD9F8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cc30c5-a909-43fb-8b15-54a92270f649"/>
    <ds:schemaRef ds:uri="65d1fe90-2447-4310-beae-3affb20d70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12FB0C-123D-48DC-B058-989C64B75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8014F-1439-4AAF-9CCA-83E71DD5495B}">
  <ds:schemaRefs>
    <ds:schemaRef ds:uri="http://purl.org/dc/elements/1.1/"/>
    <ds:schemaRef ds:uri="http://schemas.microsoft.com/office/2006/documentManagement/types"/>
    <ds:schemaRef ds:uri="http://purl.org/dc/terms/"/>
    <ds:schemaRef ds:uri="65d1fe90-2447-4310-beae-3affb20d7041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f5cc30c5-a909-43fb-8b15-54a92270f64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 P</dc:creator>
  <cp:keywords/>
  <dc:description/>
  <cp:lastModifiedBy>Ramki P</cp:lastModifiedBy>
  <cp:revision>2</cp:revision>
  <dcterms:created xsi:type="dcterms:W3CDTF">2025-05-31T05:08:00Z</dcterms:created>
  <dcterms:modified xsi:type="dcterms:W3CDTF">2025-05-31T05:08:00Z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0x010100A7F128AA4E84A947AE40E9E760A9FD16</vt:lpwstr>
  </property>
</Properties>
</file>