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F7D83" w14:textId="77777777" w:rsidR="00FF0385" w:rsidRPr="00FF0385" w:rsidRDefault="00FF0385" w:rsidP="00FF0385">
      <w:pPr>
        <w:jc w:val="center"/>
        <w:rPr>
          <w:b/>
          <w:bCs/>
          <w:sz w:val="28"/>
          <w:szCs w:val="28"/>
        </w:rPr>
      </w:pPr>
      <w:r w:rsidRPr="00FF0385">
        <w:rPr>
          <w:b/>
          <w:bCs/>
          <w:sz w:val="28"/>
          <w:szCs w:val="28"/>
        </w:rPr>
        <w:t>Tridel Mooring Buoys</w:t>
      </w:r>
    </w:p>
    <w:p w14:paraId="23EF06D3" w14:textId="77777777" w:rsidR="00FF0385" w:rsidRPr="00FF0385" w:rsidRDefault="00FF0385" w:rsidP="00FF0385">
      <w:r w:rsidRPr="00FF0385">
        <w:t xml:space="preserve">Tridel manufactures a versatile range of mooring buoys suitable for commercial, naval, and offshore applications. Available in Polyethylene (PE) and Steel construction, these buoys are designed to provide robust mooring solutions across various marine conditions, from sheltered </w:t>
      </w:r>
      <w:proofErr w:type="spellStart"/>
      <w:r w:rsidRPr="00FF0385">
        <w:t>harbors</w:t>
      </w:r>
      <w:proofErr w:type="spellEnd"/>
      <w:r w:rsidRPr="00FF0385">
        <w:t xml:space="preserve"> to open-sea environments.</w:t>
      </w:r>
    </w:p>
    <w:p w14:paraId="23E58646" w14:textId="77777777" w:rsidR="00FF0385" w:rsidRPr="00FF0385" w:rsidRDefault="00FF0385" w:rsidP="00FF0385"/>
    <w:p w14:paraId="375CF90E" w14:textId="77777777" w:rsidR="00FF0385" w:rsidRPr="00FF0385" w:rsidRDefault="00FF0385" w:rsidP="00FF0385">
      <w:pPr>
        <w:rPr>
          <w:b/>
          <w:bCs/>
        </w:rPr>
      </w:pPr>
      <w:r w:rsidRPr="00FF0385">
        <w:rPr>
          <w:b/>
          <w:bCs/>
        </w:rPr>
        <w:t>Product Range Overview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8"/>
        <w:gridCol w:w="3666"/>
        <w:gridCol w:w="3552"/>
      </w:tblGrid>
      <w:tr w:rsidR="00FF0385" w:rsidRPr="00FF0385" w14:paraId="4B1B3DE2" w14:textId="77777777" w:rsidTr="00FF0385">
        <w:trPr>
          <w:tblHeader/>
          <w:tblCellSpacing w:w="15" w:type="dxa"/>
        </w:trPr>
        <w:tc>
          <w:tcPr>
            <w:tcW w:w="0" w:type="auto"/>
            <w:vAlign w:val="center"/>
            <w:hideMark/>
          </w:tcPr>
          <w:p w14:paraId="04CB6ED3" w14:textId="77777777" w:rsidR="00FF0385" w:rsidRPr="00FF0385" w:rsidRDefault="00FF0385" w:rsidP="00FF0385">
            <w:pPr>
              <w:jc w:val="center"/>
              <w:rPr>
                <w:b/>
                <w:bCs/>
                <w:sz w:val="24"/>
                <w:szCs w:val="24"/>
              </w:rPr>
            </w:pPr>
            <w:r w:rsidRPr="00FF0385">
              <w:rPr>
                <w:b/>
                <w:bCs/>
                <w:sz w:val="24"/>
                <w:szCs w:val="24"/>
              </w:rPr>
              <w:t>Feature</w:t>
            </w:r>
          </w:p>
        </w:tc>
        <w:tc>
          <w:tcPr>
            <w:tcW w:w="0" w:type="auto"/>
            <w:vAlign w:val="center"/>
            <w:hideMark/>
          </w:tcPr>
          <w:p w14:paraId="0B6734E0" w14:textId="77777777" w:rsidR="00FF0385" w:rsidRPr="00FF0385" w:rsidRDefault="00FF0385" w:rsidP="00FF0385">
            <w:pPr>
              <w:jc w:val="center"/>
              <w:rPr>
                <w:b/>
                <w:bCs/>
                <w:sz w:val="24"/>
                <w:szCs w:val="24"/>
              </w:rPr>
            </w:pPr>
            <w:r w:rsidRPr="00FF0385">
              <w:rPr>
                <w:b/>
                <w:bCs/>
                <w:sz w:val="24"/>
                <w:szCs w:val="24"/>
              </w:rPr>
              <w:t>PE Mooring Buoy</w:t>
            </w:r>
          </w:p>
        </w:tc>
        <w:tc>
          <w:tcPr>
            <w:tcW w:w="0" w:type="auto"/>
            <w:vAlign w:val="center"/>
            <w:hideMark/>
          </w:tcPr>
          <w:p w14:paraId="11642CE6" w14:textId="77777777" w:rsidR="00FF0385" w:rsidRPr="00FF0385" w:rsidRDefault="00FF0385" w:rsidP="00FF0385">
            <w:pPr>
              <w:jc w:val="center"/>
              <w:rPr>
                <w:b/>
                <w:bCs/>
                <w:sz w:val="24"/>
                <w:szCs w:val="24"/>
              </w:rPr>
            </w:pPr>
            <w:r w:rsidRPr="00FF0385">
              <w:rPr>
                <w:b/>
                <w:bCs/>
                <w:sz w:val="24"/>
                <w:szCs w:val="24"/>
              </w:rPr>
              <w:t>Steel Mooring Buoy</w:t>
            </w:r>
          </w:p>
        </w:tc>
      </w:tr>
      <w:tr w:rsidR="00FF0385" w:rsidRPr="00FF0385" w14:paraId="68D9BB84" w14:textId="77777777" w:rsidTr="00FF0385">
        <w:trPr>
          <w:tblCellSpacing w:w="15" w:type="dxa"/>
        </w:trPr>
        <w:tc>
          <w:tcPr>
            <w:tcW w:w="0" w:type="auto"/>
            <w:vAlign w:val="center"/>
            <w:hideMark/>
          </w:tcPr>
          <w:p w14:paraId="6F21E822" w14:textId="77777777" w:rsidR="00FF0385" w:rsidRPr="00FF0385" w:rsidRDefault="00FF0385" w:rsidP="00FF0385">
            <w:r w:rsidRPr="00FF0385">
              <w:rPr>
                <w:b/>
                <w:bCs/>
              </w:rPr>
              <w:t>Diameter Range</w:t>
            </w:r>
          </w:p>
        </w:tc>
        <w:tc>
          <w:tcPr>
            <w:tcW w:w="0" w:type="auto"/>
            <w:vAlign w:val="center"/>
            <w:hideMark/>
          </w:tcPr>
          <w:p w14:paraId="02D342D0" w14:textId="77777777" w:rsidR="00FF0385" w:rsidRPr="00FF0385" w:rsidRDefault="00FF0385" w:rsidP="00FF0385">
            <w:r w:rsidRPr="00FF0385">
              <w:t>1.0 m to 3.5 m</w:t>
            </w:r>
          </w:p>
        </w:tc>
        <w:tc>
          <w:tcPr>
            <w:tcW w:w="0" w:type="auto"/>
            <w:vAlign w:val="center"/>
            <w:hideMark/>
          </w:tcPr>
          <w:p w14:paraId="7DB6CCBF" w14:textId="77777777" w:rsidR="00FF0385" w:rsidRPr="00FF0385" w:rsidRDefault="00FF0385" w:rsidP="00FF0385">
            <w:r w:rsidRPr="00FF0385">
              <w:t>Custom (typically 1.5 m to 3.5 m)</w:t>
            </w:r>
          </w:p>
        </w:tc>
      </w:tr>
      <w:tr w:rsidR="00FF0385" w:rsidRPr="00FF0385" w14:paraId="2C1FDD0F" w14:textId="77777777" w:rsidTr="00FF0385">
        <w:trPr>
          <w:tblCellSpacing w:w="15" w:type="dxa"/>
        </w:trPr>
        <w:tc>
          <w:tcPr>
            <w:tcW w:w="0" w:type="auto"/>
            <w:vAlign w:val="center"/>
            <w:hideMark/>
          </w:tcPr>
          <w:p w14:paraId="03FB98BD" w14:textId="77777777" w:rsidR="00FF0385" w:rsidRPr="00FF0385" w:rsidRDefault="00FF0385" w:rsidP="00FF0385">
            <w:r w:rsidRPr="00FF0385">
              <w:rPr>
                <w:b/>
                <w:bCs/>
              </w:rPr>
              <w:t>Construction</w:t>
            </w:r>
          </w:p>
        </w:tc>
        <w:tc>
          <w:tcPr>
            <w:tcW w:w="0" w:type="auto"/>
            <w:vAlign w:val="center"/>
            <w:hideMark/>
          </w:tcPr>
          <w:p w14:paraId="661F3FB5" w14:textId="77777777" w:rsidR="00FF0385" w:rsidRPr="00FF0385" w:rsidRDefault="00FF0385" w:rsidP="00FF0385">
            <w:r w:rsidRPr="00FF0385">
              <w:t>UV-stabilized polyethylene shell with foam core</w:t>
            </w:r>
          </w:p>
        </w:tc>
        <w:tc>
          <w:tcPr>
            <w:tcW w:w="0" w:type="auto"/>
            <w:vAlign w:val="center"/>
            <w:hideMark/>
          </w:tcPr>
          <w:p w14:paraId="57DBF3AB" w14:textId="77777777" w:rsidR="00FF0385" w:rsidRPr="00FF0385" w:rsidRDefault="00FF0385" w:rsidP="00FF0385">
            <w:r w:rsidRPr="00FF0385">
              <w:t>Welded marine-grade steel shell</w:t>
            </w:r>
          </w:p>
        </w:tc>
      </w:tr>
      <w:tr w:rsidR="00FF0385" w:rsidRPr="00FF0385" w14:paraId="4C3F4CE8" w14:textId="77777777" w:rsidTr="00FF0385">
        <w:trPr>
          <w:tblCellSpacing w:w="15" w:type="dxa"/>
        </w:trPr>
        <w:tc>
          <w:tcPr>
            <w:tcW w:w="0" w:type="auto"/>
            <w:vAlign w:val="center"/>
            <w:hideMark/>
          </w:tcPr>
          <w:p w14:paraId="5D705E8A" w14:textId="77777777" w:rsidR="00FF0385" w:rsidRPr="00FF0385" w:rsidRDefault="00FF0385" w:rsidP="00FF0385">
            <w:r w:rsidRPr="00FF0385">
              <w:rPr>
                <w:b/>
                <w:bCs/>
              </w:rPr>
              <w:t>Core Structure</w:t>
            </w:r>
          </w:p>
        </w:tc>
        <w:tc>
          <w:tcPr>
            <w:tcW w:w="0" w:type="auto"/>
            <w:vAlign w:val="center"/>
            <w:hideMark/>
          </w:tcPr>
          <w:p w14:paraId="3AE7C906" w14:textId="77777777" w:rsidR="00FF0385" w:rsidRPr="00FF0385" w:rsidRDefault="00FF0385" w:rsidP="00FF0385">
            <w:r w:rsidRPr="00FF0385">
              <w:t>Internal steel load frame</w:t>
            </w:r>
          </w:p>
        </w:tc>
        <w:tc>
          <w:tcPr>
            <w:tcW w:w="0" w:type="auto"/>
            <w:vAlign w:val="center"/>
            <w:hideMark/>
          </w:tcPr>
          <w:p w14:paraId="6917AC71" w14:textId="77777777" w:rsidR="00FF0385" w:rsidRPr="00FF0385" w:rsidRDefault="00FF0385" w:rsidP="00FF0385">
            <w:r w:rsidRPr="00FF0385">
              <w:t>Reinforced steel throughout</w:t>
            </w:r>
          </w:p>
        </w:tc>
      </w:tr>
      <w:tr w:rsidR="00FF0385" w:rsidRPr="00FF0385" w14:paraId="086D4D53" w14:textId="77777777" w:rsidTr="00FF0385">
        <w:trPr>
          <w:tblCellSpacing w:w="15" w:type="dxa"/>
        </w:trPr>
        <w:tc>
          <w:tcPr>
            <w:tcW w:w="0" w:type="auto"/>
            <w:vAlign w:val="center"/>
            <w:hideMark/>
          </w:tcPr>
          <w:p w14:paraId="337642AA" w14:textId="77777777" w:rsidR="00FF0385" w:rsidRPr="00FF0385" w:rsidRDefault="00FF0385" w:rsidP="00FF0385">
            <w:r w:rsidRPr="00FF0385">
              <w:rPr>
                <w:b/>
                <w:bCs/>
              </w:rPr>
              <w:t>Buoyancy</w:t>
            </w:r>
          </w:p>
        </w:tc>
        <w:tc>
          <w:tcPr>
            <w:tcW w:w="0" w:type="auto"/>
            <w:vAlign w:val="center"/>
            <w:hideMark/>
          </w:tcPr>
          <w:p w14:paraId="5AE83A30" w14:textId="77777777" w:rsidR="00FF0385" w:rsidRPr="00FF0385" w:rsidRDefault="00FF0385" w:rsidP="00FF0385">
            <w:r w:rsidRPr="00FF0385">
              <w:t>Closed-cell polyurethane foam-filled</w:t>
            </w:r>
          </w:p>
        </w:tc>
        <w:tc>
          <w:tcPr>
            <w:tcW w:w="0" w:type="auto"/>
            <w:vAlign w:val="center"/>
            <w:hideMark/>
          </w:tcPr>
          <w:p w14:paraId="1A0D39C0" w14:textId="77777777" w:rsidR="00FF0385" w:rsidRPr="00FF0385" w:rsidRDefault="00FF0385" w:rsidP="00FF0385">
            <w:r w:rsidRPr="00FF0385">
              <w:t>Air or foam-filled; internal ballast optional</w:t>
            </w:r>
          </w:p>
        </w:tc>
      </w:tr>
      <w:tr w:rsidR="00FF0385" w:rsidRPr="00FF0385" w14:paraId="020D8443" w14:textId="77777777" w:rsidTr="00FF0385">
        <w:trPr>
          <w:tblCellSpacing w:w="15" w:type="dxa"/>
        </w:trPr>
        <w:tc>
          <w:tcPr>
            <w:tcW w:w="0" w:type="auto"/>
            <w:vAlign w:val="center"/>
            <w:hideMark/>
          </w:tcPr>
          <w:p w14:paraId="643C2312" w14:textId="77777777" w:rsidR="00FF0385" w:rsidRPr="00FF0385" w:rsidRDefault="00FF0385" w:rsidP="00FF0385">
            <w:r w:rsidRPr="00FF0385">
              <w:rPr>
                <w:b/>
                <w:bCs/>
              </w:rPr>
              <w:t>Durability</w:t>
            </w:r>
          </w:p>
        </w:tc>
        <w:tc>
          <w:tcPr>
            <w:tcW w:w="0" w:type="auto"/>
            <w:vAlign w:val="center"/>
            <w:hideMark/>
          </w:tcPr>
          <w:p w14:paraId="721A5309" w14:textId="77777777" w:rsidR="00FF0385" w:rsidRPr="00FF0385" w:rsidRDefault="00FF0385" w:rsidP="00FF0385">
            <w:r w:rsidRPr="00FF0385">
              <w:t>High impact and corrosion resistance</w:t>
            </w:r>
          </w:p>
        </w:tc>
        <w:tc>
          <w:tcPr>
            <w:tcW w:w="0" w:type="auto"/>
            <w:vAlign w:val="center"/>
            <w:hideMark/>
          </w:tcPr>
          <w:p w14:paraId="76F076E1" w14:textId="77777777" w:rsidR="00FF0385" w:rsidRPr="00FF0385" w:rsidRDefault="00FF0385" w:rsidP="00FF0385">
            <w:r w:rsidRPr="00FF0385">
              <w:t>Very high strength and mooring load capacity</w:t>
            </w:r>
          </w:p>
        </w:tc>
      </w:tr>
      <w:tr w:rsidR="00FF0385" w:rsidRPr="00FF0385" w14:paraId="7DD7ECDD" w14:textId="77777777" w:rsidTr="00FF0385">
        <w:trPr>
          <w:tblCellSpacing w:w="15" w:type="dxa"/>
        </w:trPr>
        <w:tc>
          <w:tcPr>
            <w:tcW w:w="0" w:type="auto"/>
            <w:vAlign w:val="center"/>
            <w:hideMark/>
          </w:tcPr>
          <w:p w14:paraId="5B97AED1" w14:textId="77777777" w:rsidR="00FF0385" w:rsidRPr="00FF0385" w:rsidRDefault="00FF0385" w:rsidP="00FF0385">
            <w:r w:rsidRPr="00FF0385">
              <w:rPr>
                <w:b/>
                <w:bCs/>
              </w:rPr>
              <w:t>Corrosion Protection</w:t>
            </w:r>
          </w:p>
        </w:tc>
        <w:tc>
          <w:tcPr>
            <w:tcW w:w="0" w:type="auto"/>
            <w:vAlign w:val="center"/>
            <w:hideMark/>
          </w:tcPr>
          <w:p w14:paraId="651A75C5" w14:textId="77777777" w:rsidR="00FF0385" w:rsidRPr="00FF0385" w:rsidRDefault="00FF0385" w:rsidP="00FF0385">
            <w:r w:rsidRPr="00FF0385">
              <w:t>Corrosion-resistant PE; no painting required</w:t>
            </w:r>
          </w:p>
        </w:tc>
        <w:tc>
          <w:tcPr>
            <w:tcW w:w="0" w:type="auto"/>
            <w:vAlign w:val="center"/>
            <w:hideMark/>
          </w:tcPr>
          <w:p w14:paraId="43250259" w14:textId="77777777" w:rsidR="00FF0385" w:rsidRPr="00FF0385" w:rsidRDefault="00FF0385" w:rsidP="00FF0385">
            <w:r w:rsidRPr="00FF0385">
              <w:t>Marine epoxy coating; sacrificial anodes optional</w:t>
            </w:r>
          </w:p>
        </w:tc>
      </w:tr>
      <w:tr w:rsidR="00FF0385" w:rsidRPr="00FF0385" w14:paraId="037D4DB0" w14:textId="77777777" w:rsidTr="00FF0385">
        <w:trPr>
          <w:tblCellSpacing w:w="15" w:type="dxa"/>
        </w:trPr>
        <w:tc>
          <w:tcPr>
            <w:tcW w:w="0" w:type="auto"/>
            <w:vAlign w:val="center"/>
            <w:hideMark/>
          </w:tcPr>
          <w:p w14:paraId="5FA6E700" w14:textId="77777777" w:rsidR="00FF0385" w:rsidRPr="00FF0385" w:rsidRDefault="00FF0385" w:rsidP="00FF0385">
            <w:r w:rsidRPr="00FF0385">
              <w:rPr>
                <w:b/>
                <w:bCs/>
              </w:rPr>
              <w:t>Maintenance</w:t>
            </w:r>
          </w:p>
        </w:tc>
        <w:tc>
          <w:tcPr>
            <w:tcW w:w="0" w:type="auto"/>
            <w:vAlign w:val="center"/>
            <w:hideMark/>
          </w:tcPr>
          <w:p w14:paraId="20F8C9A3" w14:textId="77777777" w:rsidR="00FF0385" w:rsidRPr="00FF0385" w:rsidRDefault="00FF0385" w:rsidP="00FF0385">
            <w:r w:rsidRPr="00FF0385">
              <w:t>Low</w:t>
            </w:r>
          </w:p>
        </w:tc>
        <w:tc>
          <w:tcPr>
            <w:tcW w:w="0" w:type="auto"/>
            <w:vAlign w:val="center"/>
            <w:hideMark/>
          </w:tcPr>
          <w:p w14:paraId="035C3581" w14:textId="77777777" w:rsidR="00FF0385" w:rsidRPr="00FF0385" w:rsidRDefault="00FF0385" w:rsidP="00FF0385">
            <w:r w:rsidRPr="00FF0385">
              <w:t>Moderate (periodic recoating)</w:t>
            </w:r>
          </w:p>
        </w:tc>
      </w:tr>
      <w:tr w:rsidR="00FF0385" w:rsidRPr="00FF0385" w14:paraId="60F2DB12" w14:textId="77777777" w:rsidTr="00FF0385">
        <w:trPr>
          <w:tblCellSpacing w:w="15" w:type="dxa"/>
        </w:trPr>
        <w:tc>
          <w:tcPr>
            <w:tcW w:w="0" w:type="auto"/>
            <w:vAlign w:val="center"/>
            <w:hideMark/>
          </w:tcPr>
          <w:p w14:paraId="791A18C6" w14:textId="77777777" w:rsidR="00FF0385" w:rsidRPr="00FF0385" w:rsidRDefault="00FF0385" w:rsidP="00FF0385">
            <w:r w:rsidRPr="00FF0385">
              <w:rPr>
                <w:b/>
                <w:bCs/>
              </w:rPr>
              <w:t>Optional Fittings</w:t>
            </w:r>
          </w:p>
        </w:tc>
        <w:tc>
          <w:tcPr>
            <w:tcW w:w="0" w:type="auto"/>
            <w:vAlign w:val="center"/>
            <w:hideMark/>
          </w:tcPr>
          <w:p w14:paraId="79355AD6" w14:textId="77777777" w:rsidR="00FF0385" w:rsidRPr="00FF0385" w:rsidRDefault="00FF0385" w:rsidP="00FF0385">
            <w:r w:rsidRPr="00FF0385">
              <w:t>Solar light, radar reflector, AIS, chain swivel</w:t>
            </w:r>
          </w:p>
        </w:tc>
        <w:tc>
          <w:tcPr>
            <w:tcW w:w="0" w:type="auto"/>
            <w:vAlign w:val="center"/>
            <w:hideMark/>
          </w:tcPr>
          <w:p w14:paraId="0EEACE23" w14:textId="77777777" w:rsidR="00FF0385" w:rsidRPr="00FF0385" w:rsidRDefault="00FF0385" w:rsidP="00FF0385">
            <w:r w:rsidRPr="00FF0385">
              <w:t>Same, with heavier-duty mounting options</w:t>
            </w:r>
          </w:p>
        </w:tc>
      </w:tr>
      <w:tr w:rsidR="00FF0385" w:rsidRPr="00FF0385" w14:paraId="320976B1" w14:textId="77777777" w:rsidTr="00FF0385">
        <w:trPr>
          <w:tblCellSpacing w:w="15" w:type="dxa"/>
        </w:trPr>
        <w:tc>
          <w:tcPr>
            <w:tcW w:w="0" w:type="auto"/>
            <w:vAlign w:val="center"/>
            <w:hideMark/>
          </w:tcPr>
          <w:p w14:paraId="5FCB30E2" w14:textId="77777777" w:rsidR="00FF0385" w:rsidRPr="00FF0385" w:rsidRDefault="00FF0385" w:rsidP="00FF0385">
            <w:r w:rsidRPr="00FF0385">
              <w:rPr>
                <w:b/>
                <w:bCs/>
              </w:rPr>
              <w:t>Applications</w:t>
            </w:r>
          </w:p>
        </w:tc>
        <w:tc>
          <w:tcPr>
            <w:tcW w:w="0" w:type="auto"/>
            <w:vAlign w:val="center"/>
            <w:hideMark/>
          </w:tcPr>
          <w:p w14:paraId="111F24CC" w14:textId="77777777" w:rsidR="00FF0385" w:rsidRPr="00FF0385" w:rsidRDefault="00FF0385" w:rsidP="00FF0385">
            <w:r w:rsidRPr="00FF0385">
              <w:t>Marinas, aquaculture, light-duty offshore mooring</w:t>
            </w:r>
          </w:p>
        </w:tc>
        <w:tc>
          <w:tcPr>
            <w:tcW w:w="0" w:type="auto"/>
            <w:vAlign w:val="center"/>
            <w:hideMark/>
          </w:tcPr>
          <w:p w14:paraId="72D35FA7" w14:textId="77777777" w:rsidR="00FF0385" w:rsidRPr="00FF0385" w:rsidRDefault="00FF0385" w:rsidP="00FF0385">
            <w:r w:rsidRPr="00FF0385">
              <w:t>Ports, navy, tankers, offshore platforms</w:t>
            </w:r>
          </w:p>
        </w:tc>
      </w:tr>
    </w:tbl>
    <w:p w14:paraId="301B22DE" w14:textId="77777777" w:rsidR="00FF0385" w:rsidRPr="00FF0385" w:rsidRDefault="00FF0385" w:rsidP="00FF0385"/>
    <w:p w14:paraId="1C156BD4" w14:textId="77777777" w:rsidR="00FF0385" w:rsidRPr="00FF0385" w:rsidRDefault="00FF0385" w:rsidP="00FF0385">
      <w:pPr>
        <w:rPr>
          <w:b/>
          <w:bCs/>
        </w:rPr>
      </w:pPr>
      <w:r w:rsidRPr="00FF0385">
        <w:rPr>
          <w:b/>
          <w:bCs/>
        </w:rPr>
        <w:t>Key Features</w:t>
      </w:r>
    </w:p>
    <w:p w14:paraId="7CD65AEF" w14:textId="77777777" w:rsidR="00FF0385" w:rsidRPr="00FF0385" w:rsidRDefault="00FF0385" w:rsidP="00FF0385">
      <w:pPr>
        <w:numPr>
          <w:ilvl w:val="0"/>
          <w:numId w:val="1"/>
        </w:numPr>
      </w:pPr>
      <w:r w:rsidRPr="00FF0385">
        <w:t xml:space="preserve">High Visibility: Available in IALA-compliant </w:t>
      </w:r>
      <w:proofErr w:type="spellStart"/>
      <w:r w:rsidRPr="00FF0385">
        <w:t>colors</w:t>
      </w:r>
      <w:proofErr w:type="spellEnd"/>
      <w:r w:rsidRPr="00FF0385">
        <w:t xml:space="preserve"> (red, green, yellow, white).</w:t>
      </w:r>
    </w:p>
    <w:p w14:paraId="466B887F" w14:textId="77777777" w:rsidR="00FF0385" w:rsidRPr="00FF0385" w:rsidRDefault="00FF0385" w:rsidP="00FF0385">
      <w:pPr>
        <w:numPr>
          <w:ilvl w:val="0"/>
          <w:numId w:val="1"/>
        </w:numPr>
      </w:pPr>
      <w:r w:rsidRPr="00FF0385">
        <w:t>Heavy-Duty Hardware: Galvanized or stainless-steel mooring eyes, swivels, and central load posts.</w:t>
      </w:r>
    </w:p>
    <w:p w14:paraId="26604BC7" w14:textId="77777777" w:rsidR="00FF0385" w:rsidRPr="00FF0385" w:rsidRDefault="00FF0385" w:rsidP="00FF0385">
      <w:pPr>
        <w:numPr>
          <w:ilvl w:val="0"/>
          <w:numId w:val="1"/>
        </w:numPr>
      </w:pPr>
      <w:r w:rsidRPr="00FF0385">
        <w:t>Customizable Options: Integrated navigation lights, data telemetry, identification panels, and remote monitoring units.</w:t>
      </w:r>
    </w:p>
    <w:p w14:paraId="5747CA63" w14:textId="77777777" w:rsidR="00FF0385" w:rsidRDefault="00FF0385" w:rsidP="00FF0385">
      <w:pPr>
        <w:numPr>
          <w:ilvl w:val="0"/>
          <w:numId w:val="1"/>
        </w:numPr>
      </w:pPr>
      <w:r w:rsidRPr="00FF0385">
        <w:t>Certifications: Designed to meet IALA and IMO guidelines for maritime buoyage and mooring systems.</w:t>
      </w:r>
    </w:p>
    <w:p w14:paraId="782C2189" w14:textId="77777777" w:rsidR="00FF0385" w:rsidRPr="00FF0385" w:rsidRDefault="00FF0385" w:rsidP="00FF0385">
      <w:pPr>
        <w:ind w:left="720"/>
      </w:pPr>
    </w:p>
    <w:p w14:paraId="500F8259" w14:textId="77777777" w:rsidR="00FF0385" w:rsidRPr="00FF0385" w:rsidRDefault="00FF0385" w:rsidP="00FF0385">
      <w:pPr>
        <w:rPr>
          <w:b/>
          <w:bCs/>
        </w:rPr>
      </w:pPr>
      <w:r w:rsidRPr="00FF0385">
        <w:rPr>
          <w:b/>
          <w:bCs/>
        </w:rPr>
        <w:lastRenderedPageBreak/>
        <w:t>Applications</w:t>
      </w:r>
    </w:p>
    <w:p w14:paraId="7E087AA7" w14:textId="77777777" w:rsidR="00FF0385" w:rsidRPr="00FF0385" w:rsidRDefault="00FF0385" w:rsidP="00FF0385">
      <w:pPr>
        <w:numPr>
          <w:ilvl w:val="0"/>
          <w:numId w:val="2"/>
        </w:numPr>
      </w:pPr>
      <w:r w:rsidRPr="00FF0385">
        <w:t>Vessel and barge mooring</w:t>
      </w:r>
    </w:p>
    <w:p w14:paraId="26564F35" w14:textId="77777777" w:rsidR="00FF0385" w:rsidRPr="00FF0385" w:rsidRDefault="00FF0385" w:rsidP="00FF0385">
      <w:pPr>
        <w:numPr>
          <w:ilvl w:val="0"/>
          <w:numId w:val="2"/>
        </w:numPr>
      </w:pPr>
      <w:r w:rsidRPr="00FF0385">
        <w:t>Temporary anchorage for offshore systems</w:t>
      </w:r>
    </w:p>
    <w:p w14:paraId="58296584" w14:textId="77777777" w:rsidR="00FF0385" w:rsidRPr="00FF0385" w:rsidRDefault="00FF0385" w:rsidP="00FF0385">
      <w:pPr>
        <w:numPr>
          <w:ilvl w:val="0"/>
          <w:numId w:val="2"/>
        </w:numPr>
      </w:pPr>
      <w:r w:rsidRPr="00FF0385">
        <w:t>Floating docks and terminals</w:t>
      </w:r>
    </w:p>
    <w:p w14:paraId="47285ACF" w14:textId="77777777" w:rsidR="00FF0385" w:rsidRPr="00FF0385" w:rsidRDefault="00FF0385" w:rsidP="00FF0385">
      <w:pPr>
        <w:numPr>
          <w:ilvl w:val="0"/>
          <w:numId w:val="2"/>
        </w:numPr>
      </w:pPr>
      <w:r w:rsidRPr="00FF0385">
        <w:t>Navigation and safety zones</w:t>
      </w:r>
    </w:p>
    <w:p w14:paraId="72309994" w14:textId="77777777" w:rsidR="00FF0385" w:rsidRDefault="00FF0385" w:rsidP="00FF0385">
      <w:pPr>
        <w:numPr>
          <w:ilvl w:val="0"/>
          <w:numId w:val="2"/>
        </w:numPr>
      </w:pPr>
      <w:r w:rsidRPr="00FF0385">
        <w:t>Research platforms and aquaculture grids</w:t>
      </w:r>
    </w:p>
    <w:p w14:paraId="4D80AF90" w14:textId="6F2B925D" w:rsidR="00D54A77" w:rsidRDefault="00FF0385">
      <w:pPr>
        <w:rPr>
          <w:b/>
          <w:bCs/>
        </w:rPr>
      </w:pPr>
      <w:r w:rsidRPr="00FF0385">
        <w:rPr>
          <w:b/>
          <w:bCs/>
        </w:rPr>
        <w:t>Design Images</w:t>
      </w:r>
      <w:r w:rsidR="00990CB3">
        <w:rPr>
          <w:b/>
          <w:bCs/>
        </w:rPr>
        <w:t>:</w:t>
      </w:r>
    </w:p>
    <w:p w14:paraId="5CDBF742" w14:textId="07CA28FA" w:rsidR="00FF0385" w:rsidRDefault="006333DE">
      <w:pPr>
        <w:rPr>
          <w:b/>
          <w:bCs/>
        </w:rPr>
      </w:pPr>
      <w:r>
        <w:rPr>
          <w:noProof/>
        </w:rPr>
        <w:drawing>
          <wp:inline distT="0" distB="0" distL="0" distR="0" wp14:anchorId="0A246C23" wp14:editId="7192BF42">
            <wp:extent cx="5731510" cy="3268980"/>
            <wp:effectExtent l="0" t="0" r="2540" b="7620"/>
            <wp:docPr id="691750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68980"/>
                    </a:xfrm>
                    <a:prstGeom prst="rect">
                      <a:avLst/>
                    </a:prstGeom>
                    <a:noFill/>
                    <a:ln>
                      <a:noFill/>
                    </a:ln>
                  </pic:spPr>
                </pic:pic>
              </a:graphicData>
            </a:graphic>
          </wp:inline>
        </w:drawing>
      </w:r>
      <w:r>
        <w:rPr>
          <w:noProof/>
        </w:rPr>
        <w:drawing>
          <wp:inline distT="0" distB="0" distL="0" distR="0" wp14:anchorId="32553E9A" wp14:editId="0D201D6F">
            <wp:extent cx="5731510" cy="3268980"/>
            <wp:effectExtent l="0" t="0" r="2540" b="7620"/>
            <wp:docPr id="153820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68980"/>
                    </a:xfrm>
                    <a:prstGeom prst="rect">
                      <a:avLst/>
                    </a:prstGeom>
                    <a:noFill/>
                    <a:ln>
                      <a:noFill/>
                    </a:ln>
                  </pic:spPr>
                </pic:pic>
              </a:graphicData>
            </a:graphic>
          </wp:inline>
        </w:drawing>
      </w:r>
    </w:p>
    <w:p w14:paraId="57EE35B4" w14:textId="77777777" w:rsidR="0097288F" w:rsidRDefault="0097288F">
      <w:pPr>
        <w:rPr>
          <w:b/>
          <w:bCs/>
        </w:rPr>
      </w:pPr>
    </w:p>
    <w:p w14:paraId="44051166" w14:textId="11795EF5" w:rsidR="0097288F" w:rsidRPr="00FF0385" w:rsidRDefault="0097288F">
      <w:pPr>
        <w:rPr>
          <w:b/>
          <w:bCs/>
        </w:rPr>
      </w:pPr>
      <w:r>
        <w:rPr>
          <w:noProof/>
        </w:rPr>
        <w:lastRenderedPageBreak/>
        <w:drawing>
          <wp:inline distT="0" distB="0" distL="0" distR="0" wp14:anchorId="783C9BDE" wp14:editId="276DC094">
            <wp:extent cx="5731510" cy="3836035"/>
            <wp:effectExtent l="0" t="0" r="2540" b="0"/>
            <wp:docPr id="554707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36035"/>
                    </a:xfrm>
                    <a:prstGeom prst="rect">
                      <a:avLst/>
                    </a:prstGeom>
                    <a:noFill/>
                    <a:ln>
                      <a:noFill/>
                    </a:ln>
                  </pic:spPr>
                </pic:pic>
              </a:graphicData>
            </a:graphic>
          </wp:inline>
        </w:drawing>
      </w:r>
    </w:p>
    <w:sectPr w:rsidR="0097288F" w:rsidRPr="00FF0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B04D6B"/>
    <w:multiLevelType w:val="multilevel"/>
    <w:tmpl w:val="9A4E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C59A8"/>
    <w:multiLevelType w:val="multilevel"/>
    <w:tmpl w:val="A53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127236">
    <w:abstractNumId w:val="1"/>
  </w:num>
  <w:num w:numId="2" w16cid:durableId="199213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85"/>
    <w:rsid w:val="00094027"/>
    <w:rsid w:val="001B2076"/>
    <w:rsid w:val="006333DE"/>
    <w:rsid w:val="0097288F"/>
    <w:rsid w:val="00990CB3"/>
    <w:rsid w:val="00A216A0"/>
    <w:rsid w:val="00A876ED"/>
    <w:rsid w:val="00D17B3F"/>
    <w:rsid w:val="00D54A77"/>
    <w:rsid w:val="00FF0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3B66"/>
  <w15:chartTrackingRefBased/>
  <w15:docId w15:val="{BDF8FF7E-EBAA-405D-A2EE-16FE4EF2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3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03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03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03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03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0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3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03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03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03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03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0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385"/>
    <w:rPr>
      <w:rFonts w:eastAsiaTheme="majorEastAsia" w:cstheme="majorBidi"/>
      <w:color w:val="272727" w:themeColor="text1" w:themeTint="D8"/>
    </w:rPr>
  </w:style>
  <w:style w:type="paragraph" w:styleId="Title">
    <w:name w:val="Title"/>
    <w:basedOn w:val="Normal"/>
    <w:next w:val="Normal"/>
    <w:link w:val="TitleChar"/>
    <w:uiPriority w:val="10"/>
    <w:qFormat/>
    <w:rsid w:val="00FF0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385"/>
    <w:pPr>
      <w:spacing w:before="160"/>
      <w:jc w:val="center"/>
    </w:pPr>
    <w:rPr>
      <w:i/>
      <w:iCs/>
      <w:color w:val="404040" w:themeColor="text1" w:themeTint="BF"/>
    </w:rPr>
  </w:style>
  <w:style w:type="character" w:customStyle="1" w:styleId="QuoteChar">
    <w:name w:val="Quote Char"/>
    <w:basedOn w:val="DefaultParagraphFont"/>
    <w:link w:val="Quote"/>
    <w:uiPriority w:val="29"/>
    <w:rsid w:val="00FF0385"/>
    <w:rPr>
      <w:i/>
      <w:iCs/>
      <w:color w:val="404040" w:themeColor="text1" w:themeTint="BF"/>
    </w:rPr>
  </w:style>
  <w:style w:type="paragraph" w:styleId="ListParagraph">
    <w:name w:val="List Paragraph"/>
    <w:basedOn w:val="Normal"/>
    <w:uiPriority w:val="34"/>
    <w:qFormat/>
    <w:rsid w:val="00FF0385"/>
    <w:pPr>
      <w:ind w:left="720"/>
      <w:contextualSpacing/>
    </w:pPr>
  </w:style>
  <w:style w:type="character" w:styleId="IntenseEmphasis">
    <w:name w:val="Intense Emphasis"/>
    <w:basedOn w:val="DefaultParagraphFont"/>
    <w:uiPriority w:val="21"/>
    <w:qFormat/>
    <w:rsid w:val="00FF0385"/>
    <w:rPr>
      <w:i/>
      <w:iCs/>
      <w:color w:val="2F5496" w:themeColor="accent1" w:themeShade="BF"/>
    </w:rPr>
  </w:style>
  <w:style w:type="paragraph" w:styleId="IntenseQuote">
    <w:name w:val="Intense Quote"/>
    <w:basedOn w:val="Normal"/>
    <w:next w:val="Normal"/>
    <w:link w:val="IntenseQuoteChar"/>
    <w:uiPriority w:val="30"/>
    <w:qFormat/>
    <w:rsid w:val="00FF03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0385"/>
    <w:rPr>
      <w:i/>
      <w:iCs/>
      <w:color w:val="2F5496" w:themeColor="accent1" w:themeShade="BF"/>
    </w:rPr>
  </w:style>
  <w:style w:type="character" w:styleId="IntenseReference">
    <w:name w:val="Intense Reference"/>
    <w:basedOn w:val="DefaultParagraphFont"/>
    <w:uiPriority w:val="32"/>
    <w:qFormat/>
    <w:rsid w:val="00FF03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147867">
      <w:bodyDiv w:val="1"/>
      <w:marLeft w:val="0"/>
      <w:marRight w:val="0"/>
      <w:marTop w:val="0"/>
      <w:marBottom w:val="0"/>
      <w:divBdr>
        <w:top w:val="none" w:sz="0" w:space="0" w:color="auto"/>
        <w:left w:val="none" w:sz="0" w:space="0" w:color="auto"/>
        <w:bottom w:val="none" w:sz="0" w:space="0" w:color="auto"/>
        <w:right w:val="none" w:sz="0" w:space="0" w:color="auto"/>
      </w:divBdr>
      <w:divsChild>
        <w:div w:id="1500195635">
          <w:marLeft w:val="0"/>
          <w:marRight w:val="0"/>
          <w:marTop w:val="0"/>
          <w:marBottom w:val="0"/>
          <w:divBdr>
            <w:top w:val="none" w:sz="0" w:space="0" w:color="auto"/>
            <w:left w:val="none" w:sz="0" w:space="0" w:color="auto"/>
            <w:bottom w:val="none" w:sz="0" w:space="0" w:color="auto"/>
            <w:right w:val="none" w:sz="0" w:space="0" w:color="auto"/>
          </w:divBdr>
          <w:divsChild>
            <w:div w:id="320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454">
      <w:bodyDiv w:val="1"/>
      <w:marLeft w:val="0"/>
      <w:marRight w:val="0"/>
      <w:marTop w:val="0"/>
      <w:marBottom w:val="0"/>
      <w:divBdr>
        <w:top w:val="none" w:sz="0" w:space="0" w:color="auto"/>
        <w:left w:val="none" w:sz="0" w:space="0" w:color="auto"/>
        <w:bottom w:val="none" w:sz="0" w:space="0" w:color="auto"/>
        <w:right w:val="none" w:sz="0" w:space="0" w:color="auto"/>
      </w:divBdr>
      <w:divsChild>
        <w:div w:id="457841085">
          <w:marLeft w:val="0"/>
          <w:marRight w:val="0"/>
          <w:marTop w:val="0"/>
          <w:marBottom w:val="0"/>
          <w:divBdr>
            <w:top w:val="none" w:sz="0" w:space="0" w:color="auto"/>
            <w:left w:val="none" w:sz="0" w:space="0" w:color="auto"/>
            <w:bottom w:val="none" w:sz="0" w:space="0" w:color="auto"/>
            <w:right w:val="none" w:sz="0" w:space="0" w:color="auto"/>
          </w:divBdr>
          <w:divsChild>
            <w:div w:id="4980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F128AA4E84A947AE40E9E760A9FD16" ma:contentTypeVersion="18" ma:contentTypeDescription="Create a new document." ma:contentTypeScope="" ma:versionID="fb8ce143b3cf5f35c4ae83e5251e9fb9">
  <xsd:schema xmlns:xsd="http://www.w3.org/2001/XMLSchema" xmlns:xs="http://www.w3.org/2001/XMLSchema" xmlns:p="http://schemas.microsoft.com/office/2006/metadata/properties" xmlns:ns3="f5cc30c5-a909-43fb-8b15-54a92270f649" xmlns:ns4="65d1fe90-2447-4310-beae-3affb20d7041" targetNamespace="http://schemas.microsoft.com/office/2006/metadata/properties" ma:root="true" ma:fieldsID="7b063be484afc902f01a4d13e46c4b6c" ns3:_="" ns4:_="">
    <xsd:import namespace="f5cc30c5-a909-43fb-8b15-54a92270f649"/>
    <xsd:import namespace="65d1fe90-2447-4310-beae-3affb20d70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c30c5-a909-43fb-8b15-54a92270f6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d1fe90-2447-4310-beae-3affb20d704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5cc30c5-a909-43fb-8b15-54a92270f649" xsi:nil="true"/>
  </documentManagement>
</p:properties>
</file>

<file path=customXml/itemProps1.xml><?xml version="1.0" encoding="utf-8"?>
<ds:datastoreItem xmlns:ds="http://schemas.openxmlformats.org/officeDocument/2006/customXml" ds:itemID="{C3A94DE4-B19E-4264-9AFF-900726E93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c30c5-a909-43fb-8b15-54a92270f649"/>
    <ds:schemaRef ds:uri="65d1fe90-2447-4310-beae-3affb20d70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E4FB6B-FD65-4AB5-8D9B-0146325B4CE9}">
  <ds:schemaRefs>
    <ds:schemaRef ds:uri="http://schemas.microsoft.com/sharepoint/v3/contenttype/forms"/>
  </ds:schemaRefs>
</ds:datastoreItem>
</file>

<file path=customXml/itemProps3.xml><?xml version="1.0" encoding="utf-8"?>
<ds:datastoreItem xmlns:ds="http://schemas.openxmlformats.org/officeDocument/2006/customXml" ds:itemID="{266FDCFA-1E78-409C-B3EC-644D455DEAD8}">
  <ds:schemaRefs>
    <ds:schemaRef ds:uri="http://purl.org/dc/terms/"/>
    <ds:schemaRef ds:uri="65d1fe90-2447-4310-beae-3affb20d7041"/>
    <ds:schemaRef ds:uri="http://purl.org/dc/dcmitype/"/>
    <ds:schemaRef ds:uri="http://schemas.openxmlformats.org/package/2006/metadata/core-properties"/>
    <ds:schemaRef ds:uri="http://schemas.microsoft.com/office/2006/documentManagement/types"/>
    <ds:schemaRef ds:uri="http://www.w3.org/XML/1998/namespace"/>
    <ds:schemaRef ds:uri="http://purl.org/dc/elements/1.1/"/>
    <ds:schemaRef ds:uri="http://schemas.microsoft.com/office/infopath/2007/PartnerControls"/>
    <ds:schemaRef ds:uri="f5cc30c5-a909-43fb-8b15-54a92270f64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Ramki P</dc:creator>
  <cp:keywords/>
  <dc:description/>
  <cp:lastModifiedBy>Ramki P</cp:lastModifiedBy>
  <cp:revision>2</cp:revision>
  <dcterms:created xsi:type="dcterms:W3CDTF">2025-05-31T05:08:00Z</dcterms:created>
  <dcterms:modified xsi:type="dcterms:W3CDTF">2025-05-31T05:08:00Z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0x010100A7F128AA4E84A947AE40E9E760A9FD16</vt:lpwstr>
  </property>
</Properties>
</file>