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6B4EFF"/>
          <w:sz w:val="68"/>
        </w:rPr>
        <w:t>EXPLICITE AI</w:t>
      </w:r>
    </w:p>
    <w:p>
      <w:pPr>
        <w:jc w:val="center"/>
      </w:pPr>
      <w:r>
        <w:rPr>
          <w:b/>
          <w:color w:val="243B53"/>
          <w:sz w:val="44"/>
        </w:rPr>
        <w:t>Software Requirements Specification</w:t>
      </w:r>
    </w:p>
    <w:p>
      <w:pPr>
        <w:jc w:val="center"/>
      </w:pPr>
      <w:r>
        <w:rPr>
          <w:color w:val="52606D"/>
          <w:sz w:val="24"/>
        </w:rPr>
        <w:t>Version 1.0  |  Requirements Baseline</w:t>
      </w:r>
    </w:p>
    <w:p>
      <w:pPr>
        <w:jc w:val="center"/>
      </w:pPr>
      <w:r>
        <w:rPr>
          <w:i/>
        </w:rPr>
        <w:t>AI-powered explainable code review and programming-learning platform</w:t>
      </w:r>
    </w:p>
    <w:p/>
    <w:tbl>
      <w:tblPr>
        <w:tblStyle w:val="TableGrid"/>
        <w:tblW w:type="auto" w:w="0"/>
        <w:jc w:val="center"/>
        <w:tblLook w:firstColumn="1" w:firstRow="1" w:lastColumn="0" w:lastRow="0" w:noHBand="0" w:noVBand="1" w:val="04A0"/>
      </w:tblPr>
      <w:tblGrid>
        <w:gridCol w:w="5040"/>
        <w:gridCol w:w="5040"/>
      </w:tblGrid>
      <w:tr>
        <w:tc>
          <w:tcPr>
            <w:tcW w:type="dxa" w:w="2448"/>
            <w:shd w:fill="243B53"/>
          </w:tcPr>
          <w:p>
            <w:r>
              <w:rPr>
                <w:b/>
                <w:color w:val="FFFFFF"/>
                <w:sz w:val="16"/>
              </w:rPr>
              <w:t>Document field</w:t>
            </w:r>
          </w:p>
        </w:tc>
        <w:tc>
          <w:tcPr>
            <w:tcW w:type="dxa" w:w="7632"/>
            <w:shd w:fill="243B53"/>
          </w:tcPr>
          <w:p>
            <w:r>
              <w:rPr>
                <w:b/>
                <w:color w:val="FFFFFF"/>
                <w:sz w:val="16"/>
              </w:rPr>
              <w:t>Value</w:t>
            </w:r>
          </w:p>
        </w:tc>
      </w:tr>
      <w:tr>
        <w:tc>
          <w:tcPr>
            <w:tcW w:type="dxa" w:w="2448"/>
            <w:vAlign w:val="center"/>
          </w:tcPr>
          <w:p>
            <w:pPr>
              <w:spacing w:after="20"/>
            </w:pPr>
            <w:r>
              <w:rPr>
                <w:sz w:val="16"/>
              </w:rPr>
              <w:t>Version</w:t>
            </w:r>
          </w:p>
        </w:tc>
        <w:tc>
          <w:tcPr>
            <w:tcW w:type="dxa" w:w="7632"/>
            <w:vAlign w:val="center"/>
          </w:tcPr>
          <w:p>
            <w:pPr>
              <w:spacing w:after="20"/>
            </w:pPr>
            <w:r>
              <w:rPr>
                <w:sz w:val="16"/>
              </w:rPr>
              <w:t>1.0</w:t>
            </w:r>
          </w:p>
        </w:tc>
      </w:tr>
      <w:tr>
        <w:tc>
          <w:tcPr>
            <w:tcW w:type="dxa" w:w="2448"/>
            <w:vAlign w:val="center"/>
            <w:shd w:fill="F4F7FA"/>
          </w:tcPr>
          <w:p>
            <w:pPr>
              <w:spacing w:after="20"/>
            </w:pPr>
            <w:r>
              <w:rPr>
                <w:sz w:val="16"/>
              </w:rPr>
              <w:t>Date</w:t>
            </w:r>
          </w:p>
        </w:tc>
        <w:tc>
          <w:tcPr>
            <w:tcW w:type="dxa" w:w="7632"/>
            <w:vAlign w:val="center"/>
            <w:shd w:fill="F4F7FA"/>
          </w:tcPr>
          <w:p>
            <w:pPr>
              <w:spacing w:after="20"/>
            </w:pPr>
            <w:r>
              <w:rPr>
                <w:sz w:val="16"/>
              </w:rPr>
              <w:t>18 October 2026</w:t>
            </w:r>
          </w:p>
        </w:tc>
      </w:tr>
      <w:tr>
        <w:tc>
          <w:tcPr>
            <w:tcW w:type="dxa" w:w="2448"/>
            <w:vAlign w:val="center"/>
          </w:tcPr>
          <w:p>
            <w:pPr>
              <w:spacing w:after="20"/>
            </w:pPr>
            <w:r>
              <w:rPr>
                <w:sz w:val="16"/>
              </w:rPr>
              <w:t>Status</w:t>
            </w:r>
          </w:p>
        </w:tc>
        <w:tc>
          <w:tcPr>
            <w:tcW w:type="dxa" w:w="7632"/>
            <w:vAlign w:val="center"/>
          </w:tcPr>
          <w:p>
            <w:pPr>
              <w:spacing w:after="20"/>
            </w:pPr>
            <w:r>
              <w:rPr>
                <w:sz w:val="16"/>
              </w:rPr>
              <w:t>Requirements baseline; implementation and technical validation pending</w:t>
            </w:r>
          </w:p>
        </w:tc>
      </w:tr>
      <w:tr>
        <w:tc>
          <w:tcPr>
            <w:tcW w:type="dxa" w:w="2448"/>
            <w:vAlign w:val="center"/>
            <w:shd w:fill="F4F7FA"/>
          </w:tcPr>
          <w:p>
            <w:pPr>
              <w:spacing w:after="20"/>
            </w:pPr>
            <w:r>
              <w:rPr>
                <w:sz w:val="16"/>
              </w:rPr>
              <w:t>Project team</w:t>
            </w:r>
          </w:p>
        </w:tc>
        <w:tc>
          <w:tcPr>
            <w:tcW w:type="dxa" w:w="7632"/>
            <w:vAlign w:val="center"/>
            <w:shd w:fill="F4F7FA"/>
          </w:tcPr>
          <w:p>
            <w:pPr>
              <w:spacing w:after="20"/>
            </w:pPr>
            <w:r>
              <w:rPr>
                <w:sz w:val="16"/>
              </w:rPr>
              <w:t>Dhruv Sharma (24BBS0063); Rijul Kothawade (24BBS0230)</w:t>
            </w:r>
          </w:p>
        </w:tc>
      </w:tr>
      <w:tr>
        <w:tc>
          <w:tcPr>
            <w:tcW w:type="dxa" w:w="2448"/>
            <w:vAlign w:val="center"/>
          </w:tcPr>
          <w:p>
            <w:pPr>
              <w:spacing w:after="20"/>
            </w:pPr>
            <w:r>
              <w:rPr>
                <w:sz w:val="16"/>
              </w:rPr>
              <w:t>Frontend</w:t>
            </w:r>
          </w:p>
        </w:tc>
        <w:tc>
          <w:tcPr>
            <w:tcW w:type="dxa" w:w="7632"/>
            <w:vAlign w:val="center"/>
          </w:tcPr>
          <w:p>
            <w:pPr>
              <w:spacing w:after="20"/>
            </w:pPr>
            <w:r>
              <w:rPr>
                <w:sz w:val="16"/>
              </w:rPr>
              <w:t>React + TypeScript + Vite</w:t>
            </w:r>
          </w:p>
        </w:tc>
      </w:tr>
      <w:tr>
        <w:tc>
          <w:tcPr>
            <w:tcW w:type="dxa" w:w="2448"/>
            <w:vAlign w:val="center"/>
            <w:shd w:fill="F4F7FA"/>
          </w:tcPr>
          <w:p>
            <w:pPr>
              <w:spacing w:after="20"/>
            </w:pPr>
            <w:r>
              <w:rPr>
                <w:sz w:val="16"/>
              </w:rPr>
              <w:t>Backend</w:t>
            </w:r>
          </w:p>
        </w:tc>
        <w:tc>
          <w:tcPr>
            <w:tcW w:type="dxa" w:w="7632"/>
            <w:vAlign w:val="center"/>
            <w:shd w:fill="F4F7FA"/>
          </w:tcPr>
          <w:p>
            <w:pPr>
              <w:spacing w:after="20"/>
            </w:pPr>
            <w:r>
              <w:rPr>
                <w:sz w:val="16"/>
              </w:rPr>
              <w:t>Python + FastAPI</w:t>
            </w:r>
          </w:p>
        </w:tc>
      </w:tr>
      <w:tr>
        <w:tc>
          <w:tcPr>
            <w:tcW w:type="dxa" w:w="2448"/>
            <w:vAlign w:val="center"/>
          </w:tcPr>
          <w:p>
            <w:pPr>
              <w:spacing w:after="20"/>
            </w:pPr>
            <w:r>
              <w:rPr>
                <w:sz w:val="16"/>
              </w:rPr>
              <w:t>Database</w:t>
            </w:r>
          </w:p>
        </w:tc>
        <w:tc>
          <w:tcPr>
            <w:tcW w:type="dxa" w:w="7632"/>
            <w:vAlign w:val="center"/>
          </w:tcPr>
          <w:p>
            <w:pPr>
              <w:spacing w:after="20"/>
            </w:pPr>
            <w:r>
              <w:rPr>
                <w:sz w:val="16"/>
              </w:rPr>
              <w:t>PostgreSQL</w:t>
            </w:r>
          </w:p>
        </w:tc>
      </w:tr>
    </w:tbl>
    <w:p/>
    <w:p>
      <w:r>
        <w:t>This document defines intended requirements. It does not claim that features have been implemented, tested or deployed.</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243B53"/>
          </w:tcPr>
          <w:p>
            <w:r>
              <w:rPr>
                <w:b/>
                <w:color w:val="FFFFFF"/>
                <w:sz w:val="16"/>
              </w:rPr>
              <w:t>Version</w:t>
            </w:r>
          </w:p>
        </w:tc>
        <w:tc>
          <w:tcPr>
            <w:tcW w:type="dxa" w:w="6480"/>
            <w:shd w:fill="243B53"/>
          </w:tcPr>
          <w:p>
            <w:r>
              <w:rPr>
                <w:b/>
                <w:color w:val="FFFFFF"/>
                <w:sz w:val="16"/>
              </w:rPr>
              <w:t>Description</w:t>
            </w:r>
          </w:p>
        </w:tc>
        <w:tc>
          <w:tcPr>
            <w:tcW w:type="dxa" w:w="2448"/>
            <w:shd w:fill="243B53"/>
          </w:tcPr>
          <w:p>
            <w:r>
              <w:rPr>
                <w:b/>
                <w:color w:val="FFFFFF"/>
                <w:sz w:val="16"/>
              </w:rPr>
              <w:t>Status</w:t>
            </w:r>
          </w:p>
        </w:tc>
      </w:tr>
      <w:tr>
        <w:tc>
          <w:tcPr>
            <w:tcW w:type="dxa" w:w="1152"/>
            <w:vAlign w:val="center"/>
          </w:tcPr>
          <w:p>
            <w:pPr>
              <w:spacing w:after="20"/>
            </w:pPr>
            <w:r>
              <w:rPr>
                <w:sz w:val="16"/>
              </w:rPr>
              <w:t>0.1</w:t>
            </w:r>
          </w:p>
        </w:tc>
        <w:tc>
          <w:tcPr>
            <w:tcW w:type="dxa" w:w="6480"/>
            <w:vAlign w:val="center"/>
          </w:tcPr>
          <w:p>
            <w:pPr>
              <w:spacing w:after="20"/>
            </w:pPr>
            <w:r>
              <w:rPr>
                <w:sz w:val="16"/>
              </w:rPr>
              <w:t>Initial requirements outline</w:t>
            </w:r>
          </w:p>
        </w:tc>
        <w:tc>
          <w:tcPr>
            <w:tcW w:type="dxa" w:w="2448"/>
            <w:vAlign w:val="center"/>
          </w:tcPr>
          <w:p>
            <w:pPr>
              <w:spacing w:after="20"/>
            </w:pPr>
            <w:r>
              <w:rPr>
                <w:sz w:val="16"/>
              </w:rPr>
              <w:t>Superseded</w:t>
            </w:r>
          </w:p>
        </w:tc>
      </w:tr>
      <w:tr>
        <w:tc>
          <w:tcPr>
            <w:tcW w:type="dxa" w:w="1152"/>
            <w:vAlign w:val="center"/>
            <w:shd w:fill="F4F7FA"/>
          </w:tcPr>
          <w:p>
            <w:pPr>
              <w:spacing w:after="20"/>
            </w:pPr>
            <w:r>
              <w:rPr>
                <w:sz w:val="16"/>
              </w:rPr>
              <w:t>0.2</w:t>
            </w:r>
          </w:p>
        </w:tc>
        <w:tc>
          <w:tcPr>
            <w:tcW w:type="dxa" w:w="6480"/>
            <w:vAlign w:val="center"/>
            <w:shd w:fill="F4F7FA"/>
          </w:tcPr>
          <w:p>
            <w:pPr>
              <w:spacing w:after="20"/>
            </w:pPr>
            <w:r>
              <w:rPr>
                <w:sz w:val="16"/>
              </w:rPr>
              <w:t>Expanded functional and non-functional requirements</w:t>
            </w:r>
          </w:p>
        </w:tc>
        <w:tc>
          <w:tcPr>
            <w:tcW w:type="dxa" w:w="2448"/>
            <w:vAlign w:val="center"/>
            <w:shd w:fill="F4F7FA"/>
          </w:tcPr>
          <w:p>
            <w:pPr>
              <w:spacing w:after="20"/>
            </w:pPr>
            <w:r>
              <w:rPr>
                <w:sz w:val="16"/>
              </w:rPr>
              <w:t>Superseded</w:t>
            </w:r>
          </w:p>
        </w:tc>
      </w:tr>
      <w:tr>
        <w:tc>
          <w:tcPr>
            <w:tcW w:type="dxa" w:w="1152"/>
            <w:vAlign w:val="center"/>
          </w:tcPr>
          <w:p>
            <w:pPr>
              <w:spacing w:after="20"/>
            </w:pPr>
            <w:r>
              <w:rPr>
                <w:sz w:val="16"/>
              </w:rPr>
              <w:t>1.0</w:t>
            </w:r>
          </w:p>
        </w:tc>
        <w:tc>
          <w:tcPr>
            <w:tcW w:type="dxa" w:w="6480"/>
            <w:vAlign w:val="center"/>
          </w:tcPr>
          <w:p>
            <w:pPr>
              <w:spacing w:after="20"/>
            </w:pPr>
            <w:r>
              <w:rPr>
                <w:sz w:val="16"/>
              </w:rPr>
              <w:t>Consolidated agreed product requirements and open technical evaluations</w:t>
            </w:r>
          </w:p>
        </w:tc>
        <w:tc>
          <w:tcPr>
            <w:tcW w:type="dxa" w:w="2448"/>
            <w:vAlign w:val="center"/>
          </w:tcPr>
          <w:p>
            <w:pPr>
              <w:spacing w:after="20"/>
            </w:pPr>
            <w:r>
              <w:rPr>
                <w:sz w:val="16"/>
              </w:rPr>
              <w:t>Current</w:t>
            </w:r>
          </w:p>
        </w:tc>
      </w:tr>
    </w:tbl>
    <w:p/>
    <w:p>
      <w:pPr>
        <w:pStyle w:val="Heading2"/>
        <w:keepNext/>
      </w:pPr>
      <w:r>
        <w:t>Reading This SRS</w:t>
      </w:r>
    </w:p>
    <w:p>
      <w:r>
        <w:t>“Shall” denotes a mandatory requirement; “should” denotes a recommended requirement; “may” denotes an optional capability. Agreed requirements are distinguished from implementation choices that remain subject to evaluation.</w:t>
      </w:r>
    </w:p>
    <w:p>
      <w:pPr>
        <w:pStyle w:val="ListBullet"/>
        <w:spacing w:after="40"/>
      </w:pPr>
      <w:r>
        <w:t>Agreed: intended product behaviour or policy is settled.</w:t>
      </w:r>
    </w:p>
    <w:p>
      <w:pPr>
        <w:pStyle w:val="ListBullet"/>
        <w:spacing w:after="40"/>
      </w:pPr>
      <w:r>
        <w:t>Pending technical evaluation: component selection or values require evidence.</w:t>
      </w:r>
    </w:p>
    <w:p>
      <w:pPr>
        <w:pStyle w:val="ListBullet"/>
        <w:spacing w:after="40"/>
      </w:pPr>
      <w:r>
        <w:t>Provisional target: an initial target to benchmark and potentially revise.</w:t>
      </w:r>
    </w:p>
    <w:p>
      <w:pPr>
        <w:pStyle w:val="ListBullet"/>
        <w:spacing w:after="40"/>
      </w:pPr>
      <w:r>
        <w:t>Not implemented: this SRS is not evidence that a feature or test is complete.</w:t>
      </w:r>
    </w:p>
    <w:p>
      <w:pPr>
        <w:pStyle w:val="Heading1"/>
        <w:keepNext/>
      </w:pPr>
      <w:r>
        <w:t>Table of Contents</w:t>
      </w:r>
    </w:p>
    <w:p>
      <w:pPr>
        <w:pStyle w:val="ListBullet"/>
        <w:spacing w:after="40"/>
      </w:pPr>
      <w:r>
        <w:t>1. Introduction</w:t>
      </w:r>
    </w:p>
    <w:p>
      <w:pPr>
        <w:pStyle w:val="ListBullet"/>
        <w:spacing w:after="40"/>
      </w:pPr>
      <w:r>
        <w:t>2. Overall Description</w:t>
      </w:r>
    </w:p>
    <w:p>
      <w:pPr>
        <w:pStyle w:val="ListBullet"/>
        <w:spacing w:after="40"/>
      </w:pPr>
      <w:r>
        <w:t>3. User Classes and Roles</w:t>
      </w:r>
    </w:p>
    <w:p>
      <w:pPr>
        <w:pStyle w:val="ListBullet"/>
        <w:spacing w:after="40"/>
      </w:pPr>
      <w:r>
        <w:t>4. Functional Requirements</w:t>
      </w:r>
    </w:p>
    <w:p>
      <w:pPr>
        <w:pStyle w:val="Heading2"/>
      </w:pPr>
      <w:r>
        <w:t>4.11 Policy Updates and Transparency Page</w:t>
      </w:r>
    </w:p>
    <w:p>
      <w:r>
        <w:t>Explicite AI shall include a dedicated, user-facing Policy Updates page, accessible from the main navigation or Settings. It will briefly explain the platform's operating principles and material user-facing policy changes. It is a transparency page, not a technical specification: proprietary formulas, exact risk-scoring weights, internal prompts, credentials, security-sensitive controls and confidential implementation details shall not be disclosed.</w:t>
      </w:r>
    </w:p>
    <w:p>
      <w:r>
        <w:t>The page should answer, in plain language: what changed, why users may notice a difference, which feature or policy is affected, and when the change takes effect. It shall distinguish the current policy summary from historical updates and mark superseded entries.</w:t>
      </w:r>
    </w:p>
    <w:p>
      <w:r>
        <w:t>Suggested categories are AI explanations and learning; code analysis and language coverage; fix approval and verification; privacy and data retention; account and access controls; and general product changes.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tcPr>
          <w:p>
            <w:pPr>
              <w:spacing w:after="20"/>
            </w:pPr>
            <w:r>
              <w:rPr>
                <w:sz w:val="15"/>
              </w:rPr>
              <w:t>FR-POL-01</w:t>
            </w:r>
          </w:p>
        </w:tc>
        <w:tc>
          <w:tcPr>
            <w:tcW w:type="dxa" w:w="5184"/>
          </w:tcPr>
          <w:p>
            <w:pPr>
              <w:spacing w:after="20"/>
            </w:pPr>
            <w:r>
              <w:rPr>
                <w:sz w:val="15"/>
              </w:rPr>
              <w:t>Provide a dedicated Policy Updates page reachable from main navigation or Settings.</w:t>
            </w:r>
          </w:p>
        </w:tc>
        <w:tc>
          <w:tcPr>
            <w:tcW w:type="dxa" w:w="864"/>
          </w:tcPr>
          <w:p>
            <w:pPr>
              <w:spacing w:after="20"/>
            </w:pPr>
            <w:r>
              <w:rPr>
                <w:sz w:val="15"/>
              </w:rPr>
              <w:t>P0</w:t>
            </w:r>
          </w:p>
        </w:tc>
        <w:tc>
          <w:tcPr>
            <w:tcW w:type="dxa" w:w="2880"/>
          </w:tcPr>
          <w:p>
            <w:pPr>
              <w:spacing w:after="20"/>
            </w:pPr>
            <w:r>
              <w:rPr>
                <w:sz w:val="15"/>
              </w:rPr>
              <w:t>User can locate and open it.</w:t>
            </w:r>
          </w:p>
        </w:tc>
      </w:tr>
      <w:tr>
        <w:tc>
          <w:tcPr>
            <w:tcW w:type="dxa" w:w="1224"/>
            <w:shd w:fill="F4F7FA"/>
          </w:tcPr>
          <w:p>
            <w:pPr>
              <w:spacing w:after="20"/>
            </w:pPr>
            <w:r>
              <w:rPr>
                <w:sz w:val="15"/>
              </w:rPr>
              <w:t>FR-POL-02</w:t>
            </w:r>
          </w:p>
        </w:tc>
        <w:tc>
          <w:tcPr>
            <w:tcW w:type="dxa" w:w="5184"/>
            <w:shd w:fill="F4F7FA"/>
          </w:tcPr>
          <w:p>
            <w:pPr>
              <w:spacing w:after="20"/>
            </w:pPr>
            <w:r>
              <w:rPr>
                <w:sz w:val="15"/>
              </w:rPr>
              <w:t>Explain in plain language how code analysis, AI assistance, fix approval and re-analysis work at a high level.</w:t>
            </w:r>
          </w:p>
        </w:tc>
        <w:tc>
          <w:tcPr>
            <w:tcW w:type="dxa" w:w="864"/>
            <w:shd w:fill="F4F7FA"/>
          </w:tcPr>
          <w:p>
            <w:pPr>
              <w:spacing w:after="20"/>
            </w:pPr>
            <w:r>
              <w:rPr>
                <w:sz w:val="15"/>
              </w:rPr>
              <w:t>P0</w:t>
            </w:r>
          </w:p>
        </w:tc>
        <w:tc>
          <w:tcPr>
            <w:tcW w:type="dxa" w:w="2880"/>
            <w:shd w:fill="F4F7FA"/>
          </w:tcPr>
          <w:p>
            <w:pPr>
              <w:spacing w:after="20"/>
            </w:pPr>
            <w:r>
              <w:rPr>
                <w:sz w:val="15"/>
              </w:rPr>
              <w:t>Explanation is accurate, concise and understandable.</w:t>
            </w:r>
          </w:p>
        </w:tc>
      </w:tr>
      <w:tr>
        <w:tc>
          <w:tcPr>
            <w:tcW w:type="dxa" w:w="1224"/>
          </w:tcPr>
          <w:p>
            <w:pPr>
              <w:spacing w:after="20"/>
            </w:pPr>
            <w:r>
              <w:rPr>
                <w:sz w:val="15"/>
              </w:rPr>
              <w:t>FR-POL-03</w:t>
            </w:r>
          </w:p>
        </w:tc>
        <w:tc>
          <w:tcPr>
            <w:tcW w:type="dxa" w:w="5184"/>
          </w:tcPr>
          <w:p>
            <w:pPr>
              <w:spacing w:after="20"/>
            </w:pPr>
            <w:r>
              <w:rPr>
                <w:sz w:val="15"/>
              </w:rPr>
              <w:t>Summarise relevant privacy, external AI consent and data-retention practices.</w:t>
            </w:r>
          </w:p>
        </w:tc>
        <w:tc>
          <w:tcPr>
            <w:tcW w:type="dxa" w:w="864"/>
          </w:tcPr>
          <w:p>
            <w:pPr>
              <w:spacing w:after="20"/>
            </w:pPr>
            <w:r>
              <w:rPr>
                <w:sz w:val="15"/>
              </w:rPr>
              <w:t>P0</w:t>
            </w:r>
          </w:p>
        </w:tc>
        <w:tc>
          <w:tcPr>
            <w:tcW w:type="dxa" w:w="2880"/>
          </w:tcPr>
          <w:p>
            <w:pPr>
              <w:spacing w:after="20"/>
            </w:pPr>
            <w:r>
              <w:rPr>
                <w:sz w:val="15"/>
              </w:rPr>
              <w:t>Summary matches current approved policies and settings.</w:t>
            </w:r>
          </w:p>
        </w:tc>
      </w:tr>
      <w:tr>
        <w:tc>
          <w:tcPr>
            <w:tcW w:type="dxa" w:w="1224"/>
            <w:shd w:fill="F4F7FA"/>
          </w:tcPr>
          <w:p>
            <w:pPr>
              <w:spacing w:after="20"/>
            </w:pPr>
            <w:r>
              <w:rPr>
                <w:sz w:val="15"/>
              </w:rPr>
              <w:t>FR-POL-04</w:t>
            </w:r>
          </w:p>
        </w:tc>
        <w:tc>
          <w:tcPr>
            <w:tcW w:type="dxa" w:w="5184"/>
            <w:shd w:fill="F4F7FA"/>
          </w:tcPr>
          <w:p>
            <w:pPr>
              <w:spacing w:after="20"/>
            </w:pPr>
            <w:r>
              <w:rPr>
                <w:sz w:val="15"/>
              </w:rPr>
              <w:t>List material policy/product-behaviour updates with title, publication/effective date, brief summary and affected area.</w:t>
            </w:r>
          </w:p>
        </w:tc>
        <w:tc>
          <w:tcPr>
            <w:tcW w:type="dxa" w:w="864"/>
            <w:shd w:fill="F4F7FA"/>
          </w:tcPr>
          <w:p>
            <w:pPr>
              <w:spacing w:after="20"/>
            </w:pPr>
            <w:r>
              <w:rPr>
                <w:sz w:val="15"/>
              </w:rPr>
              <w:t>P0</w:t>
            </w:r>
          </w:p>
        </w:tc>
        <w:tc>
          <w:tcPr>
            <w:tcW w:type="dxa" w:w="2880"/>
            <w:shd w:fill="F4F7FA"/>
          </w:tcPr>
          <w:p>
            <w:pPr>
              <w:spacing w:after="20"/>
            </w:pPr>
            <w:r>
              <w:rPr>
                <w:sz w:val="15"/>
              </w:rPr>
              <w:t>Each published update has required metadata.</w:t>
            </w:r>
          </w:p>
        </w:tc>
      </w:tr>
      <w:tr>
        <w:tc>
          <w:tcPr>
            <w:tcW w:type="dxa" w:w="1224"/>
          </w:tcPr>
          <w:p>
            <w:pPr>
              <w:spacing w:after="20"/>
            </w:pPr>
            <w:r>
              <w:rPr>
                <w:sz w:val="15"/>
              </w:rPr>
              <w:t>FR-POL-05</w:t>
            </w:r>
          </w:p>
        </w:tc>
        <w:tc>
          <w:tcPr>
            <w:tcW w:type="dxa" w:w="5184"/>
          </w:tcPr>
          <w:p>
            <w:pPr>
              <w:spacing w:after="20"/>
            </w:pPr>
            <w:r>
              <w:rPr>
                <w:sz w:val="15"/>
              </w:rPr>
              <w:t>Distinguish current policy from historical updates and mark superseded information.</w:t>
            </w:r>
          </w:p>
        </w:tc>
        <w:tc>
          <w:tcPr>
            <w:tcW w:type="dxa" w:w="864"/>
          </w:tcPr>
          <w:p>
            <w:pPr>
              <w:spacing w:after="20"/>
            </w:pPr>
            <w:r>
              <w:rPr>
                <w:sz w:val="15"/>
              </w:rPr>
              <w:t>P1</w:t>
            </w:r>
          </w:p>
        </w:tc>
        <w:tc>
          <w:tcPr>
            <w:tcW w:type="dxa" w:w="2880"/>
          </w:tcPr>
          <w:p>
            <w:pPr>
              <w:spacing w:after="20"/>
            </w:pPr>
            <w:r>
              <w:rPr>
                <w:sz w:val="15"/>
              </w:rPr>
              <w:t>Users can identify the current position and browse history.</w:t>
            </w:r>
          </w:p>
        </w:tc>
      </w:tr>
      <w:tr>
        <w:tc>
          <w:tcPr>
            <w:tcW w:type="dxa" w:w="1224"/>
            <w:shd w:fill="F4F7FA"/>
          </w:tcPr>
          <w:p>
            <w:pPr>
              <w:spacing w:after="20"/>
            </w:pPr>
            <w:r>
              <w:rPr>
                <w:sz w:val="15"/>
              </w:rPr>
              <w:t>FR-POL-06</w:t>
            </w:r>
          </w:p>
        </w:tc>
        <w:tc>
          <w:tcPr>
            <w:tcW w:type="dxa" w:w="5184"/>
            <w:shd w:fill="F4F7FA"/>
          </w:tcPr>
          <w:p>
            <w:pPr>
              <w:spacing w:after="20"/>
            </w:pPr>
            <w:r>
              <w:rPr>
                <w:sz w:val="15"/>
              </w:rPr>
              <w:t>Restrict publishing and editing of updates to authorised administrators/designated maintainers.</w:t>
            </w:r>
          </w:p>
        </w:tc>
        <w:tc>
          <w:tcPr>
            <w:tcW w:type="dxa" w:w="864"/>
            <w:shd w:fill="F4F7FA"/>
          </w:tcPr>
          <w:p>
            <w:pPr>
              <w:spacing w:after="20"/>
            </w:pPr>
            <w:r>
              <w:rPr>
                <w:sz w:val="15"/>
              </w:rPr>
              <w:t>P0</w:t>
            </w:r>
          </w:p>
        </w:tc>
        <w:tc>
          <w:tcPr>
            <w:tcW w:type="dxa" w:w="2880"/>
            <w:shd w:fill="F4F7FA"/>
          </w:tcPr>
          <w:p>
            <w:pPr>
              <w:spacing w:after="20"/>
            </w:pPr>
            <w:r>
              <w:rPr>
                <w:sz w:val="15"/>
              </w:rPr>
              <w:t>Unauthorised edits are denied server-side.</w:t>
            </w:r>
          </w:p>
        </w:tc>
      </w:tr>
      <w:tr>
        <w:tc>
          <w:tcPr>
            <w:tcW w:type="dxa" w:w="1224"/>
          </w:tcPr>
          <w:p>
            <w:pPr>
              <w:spacing w:after="20"/>
            </w:pPr>
            <w:r>
              <w:rPr>
                <w:sz w:val="15"/>
              </w:rPr>
              <w:t>FR-POL-07</w:t>
            </w:r>
          </w:p>
        </w:tc>
        <w:tc>
          <w:tcPr>
            <w:tcW w:type="dxa" w:w="5184"/>
          </w:tcPr>
          <w:p>
            <w:pPr>
              <w:spacing w:after="20"/>
            </w:pPr>
            <w:r>
              <w:rPr>
                <w:sz w:val="15"/>
              </w:rPr>
              <w:t>Record an audit trail for publication and revision of policy updates.</w:t>
            </w:r>
          </w:p>
        </w:tc>
        <w:tc>
          <w:tcPr>
            <w:tcW w:type="dxa" w:w="864"/>
          </w:tcPr>
          <w:p>
            <w:pPr>
              <w:spacing w:after="20"/>
            </w:pPr>
            <w:r>
              <w:rPr>
                <w:sz w:val="15"/>
              </w:rPr>
              <w:t>P1</w:t>
            </w:r>
          </w:p>
        </w:tc>
        <w:tc>
          <w:tcPr>
            <w:tcW w:type="dxa" w:w="2880"/>
          </w:tcPr>
          <w:p>
            <w:pPr>
              <w:spacing w:after="20"/>
            </w:pPr>
            <w:r>
              <w:rPr>
                <w:sz w:val="15"/>
              </w:rPr>
              <w:t>Actor, timestamp and revision are recorded.</w:t>
            </w:r>
          </w:p>
        </w:tc>
      </w:tr>
      <w:tr>
        <w:tc>
          <w:tcPr>
            <w:tcW w:type="dxa" w:w="1224"/>
            <w:shd w:fill="F4F7FA"/>
          </w:tcPr>
          <w:p>
            <w:pPr>
              <w:spacing w:after="20"/>
            </w:pPr>
            <w:r>
              <w:rPr>
                <w:sz w:val="15"/>
              </w:rPr>
              <w:t>FR-POL-08</w:t>
            </w:r>
          </w:p>
        </w:tc>
        <w:tc>
          <w:tcPr>
            <w:tcW w:type="dxa" w:w="5184"/>
            <w:shd w:fill="F4F7FA"/>
          </w:tcPr>
          <w:p>
            <w:pPr>
              <w:spacing w:after="20"/>
            </w:pPr>
            <w:r>
              <w:rPr>
                <w:sz w:val="15"/>
              </w:rPr>
              <w:t>Do not disclose proprietary formulas, exact scoring weights, confidential prompts, credentials or security-sensitive implementation details.</w:t>
            </w:r>
          </w:p>
        </w:tc>
        <w:tc>
          <w:tcPr>
            <w:tcW w:type="dxa" w:w="864"/>
            <w:shd w:fill="F4F7FA"/>
          </w:tcPr>
          <w:p>
            <w:pPr>
              <w:spacing w:after="20"/>
            </w:pPr>
            <w:r>
              <w:rPr>
                <w:sz w:val="15"/>
              </w:rPr>
              <w:t>P0</w:t>
            </w:r>
          </w:p>
        </w:tc>
        <w:tc>
          <w:tcPr>
            <w:tcW w:type="dxa" w:w="2880"/>
            <w:shd w:fill="F4F7FA"/>
          </w:tcPr>
          <w:p>
            <w:pPr>
              <w:spacing w:after="20"/>
            </w:pPr>
            <w:r>
              <w:rPr>
                <w:sz w:val="15"/>
              </w:rPr>
              <w:t>Content review confirms restricted details are absent.</w:t>
            </w:r>
          </w:p>
        </w:tc>
      </w:tr>
    </w:tbl>
    <w:p>
      <w:pPr>
        <w:pStyle w:val="ListBullet"/>
        <w:spacing w:after="40"/>
      </w:pPr>
      <w:r>
        <w:t>5. External Interface Requirements</w:t>
      </w:r>
    </w:p>
    <w:p>
      <w:pPr>
        <w:pStyle w:val="ListBullet"/>
        <w:spacing w:after="40"/>
      </w:pPr>
      <w:r>
        <w:t>6. Data Requirements and Retention</w:t>
      </w:r>
    </w:p>
    <w:p>
      <w:pPr>
        <w:pStyle w:val="ListBullet"/>
        <w:spacing w:after="40"/>
      </w:pPr>
      <w:r>
        <w:t>7. Non-Functional Requirements</w:t>
      </w:r>
    </w:p>
    <w:p>
      <w:pPr>
        <w:pStyle w:val="ListBullet"/>
        <w:spacing w:after="40"/>
      </w:pPr>
      <w:r>
        <w:t>8. Core Use Cases</w:t>
      </w:r>
    </w:p>
    <w:p>
      <w:pPr>
        <w:pStyle w:val="ListBullet"/>
        <w:spacing w:after="40"/>
      </w:pPr>
      <w:r>
        <w:t>9. MVP Acceptance Criteria</w:t>
      </w:r>
    </w:p>
    <w:p>
      <w:pPr>
        <w:pStyle w:val="ListBullet"/>
        <w:spacing w:after="40"/>
      </w:pPr>
      <w:r>
        <w:t>10. Constraints and Assumptions</w:t>
      </w:r>
    </w:p>
    <w:p>
      <w:pPr>
        <w:pStyle w:val="ListBullet"/>
        <w:spacing w:after="40"/>
      </w:pPr>
      <w:r>
        <w:t>11. Risks and Mitigations</w:t>
      </w:r>
    </w:p>
    <w:p>
      <w:pPr>
        <w:pStyle w:val="ListBullet"/>
        <w:spacing w:after="40"/>
      </w:pPr>
      <w:r>
        <w:t>12. Technical Evaluation Plan</w:t>
      </w:r>
    </w:p>
    <w:p>
      <w:pPr>
        <w:pStyle w:val="ListBullet"/>
        <w:spacing w:after="40"/>
      </w:pPr>
      <w:r>
        <w:t>13. Traceability and Open Items</w:t>
      </w:r>
    </w:p>
    <w:p>
      <w:pPr>
        <w:pStyle w:val="ListBullet"/>
        <w:spacing w:after="40"/>
      </w:pPr>
      <w:r>
        <w:t>Appendix A. Glossary</w:t>
      </w:r>
    </w:p>
    <w:p>
      <w:r>
        <w:br w:type="page"/>
      </w:r>
    </w:p>
    <w:p>
      <w:pPr>
        <w:pStyle w:val="Heading1"/>
        <w:keepNext/>
      </w:pPr>
      <w:r>
        <w:t>1. Introduction</w:t>
      </w:r>
    </w:p>
    <w:p>
      <w:pPr>
        <w:pStyle w:val="Heading2"/>
        <w:keepNext/>
      </w:pPr>
      <w:r>
        <w:t>1.1 Purpose</w:t>
      </w:r>
    </w:p>
    <w:p>
      <w:r>
        <w:t>This Software Requirements Specification (SRS) defines the scope, behaviour, interfaces, data policies, quality attributes, constraints and acceptance criteria for Explicite AI. It aligns the project team, reviewers and implementers before implementation.</w:t>
      </w:r>
    </w:p>
    <w:p>
      <w:pPr>
        <w:pStyle w:val="Heading2"/>
        <w:keepNext/>
      </w:pPr>
      <w:r>
        <w:t>1.2 Product Scope</w:t>
      </w:r>
    </w:p>
    <w:p>
      <w:r>
        <w:t>Explicite AI is a standalone platform that helps developers understand, prioritise, fix and learn from code-quality, reliability, maintainability and security issues. It combines static analysis, normalised findings, explainable risk ranking, AI-assisted explanations and fixes, a programming-learning experience, and post-fix verification.</w:t>
      </w:r>
    </w:p>
    <w:p>
      <w:r>
        <w:t>The product is not branded as an extension of a particular analysis provider. It will initially integrate existing engines through replaceable adapters while building its own orchestration, finding normalisation, custom rules, scoring and user experience. Long-term reduction of provider dependence is a design objective; full independence is not claimed for the initial MVP.</w:t>
      </w:r>
    </w:p>
    <w:p>
      <w:pPr>
        <w:pStyle w:val="Heading2"/>
        <w:keepNext/>
      </w:pPr>
      <w:r>
        <w:t>1.3 Objectives</w:t>
      </w:r>
    </w:p>
    <w:p>
      <w:pPr>
        <w:pStyle w:val="ListBullet"/>
        <w:spacing w:after="40"/>
      </w:pPr>
      <w:r>
        <w:t>Make issues understandable to users with different experience levels.</w:t>
      </w:r>
    </w:p>
    <w:p>
      <w:pPr>
        <w:pStyle w:val="ListBullet"/>
        <w:spacing w:after="40"/>
      </w:pPr>
      <w:r>
        <w:t>Prioritise issues using a reproducible, evidence-based risk model.</w:t>
      </w:r>
    </w:p>
    <w:p>
      <w:pPr>
        <w:pStyle w:val="ListBullet"/>
        <w:spacing w:after="40"/>
      </w:pPr>
      <w:r>
        <w:t>Help users learn concepts rather than only apply fixes.</w:t>
      </w:r>
    </w:p>
    <w:p>
      <w:pPr>
        <w:pStyle w:val="ListBullet"/>
        <w:spacing w:after="40"/>
      </w:pPr>
      <w:r>
        <w:t>Support a controlled workflow from source import to analysis, explanation, fix proposal and verification.</w:t>
      </w:r>
    </w:p>
    <w:p>
      <w:pPr>
        <w:pStyle w:val="ListBullet"/>
        <w:spacing w:after="40"/>
      </w:pPr>
      <w:r>
        <w:t>Protect project data with role-based access and privacy-aware processing.</w:t>
      </w:r>
    </w:p>
    <w:p>
      <w:pPr>
        <w:pStyle w:val="ListBullet"/>
        <w:spacing w:after="40"/>
      </w:pPr>
      <w:r>
        <w:t>Keep analysis engines and LLM providers replaceable.</w:t>
      </w:r>
    </w:p>
    <w:p>
      <w:pPr>
        <w:pStyle w:val="ListBullet"/>
        <w:spacing w:after="40"/>
      </w:pPr>
      <w:r>
        <w:t>Measure correctness, usability, security and performance rather than making unverified claims.</w:t>
      </w:r>
    </w:p>
    <w:p>
      <w:pPr>
        <w:pStyle w:val="Heading2"/>
        <w:keepNext/>
      </w:pPr>
      <w:r>
        <w:t>1.4 Intended Audience</w:t>
      </w:r>
    </w:p>
    <w:p>
      <w:pPr>
        <w:pStyle w:val="ListBullet"/>
        <w:spacing w:after="40"/>
      </w:pPr>
      <w:r>
        <w:t>Project team and academic reviewers</w:t>
      </w:r>
    </w:p>
    <w:p>
      <w:pPr>
        <w:pStyle w:val="ListBullet"/>
        <w:spacing w:after="40"/>
      </w:pPr>
      <w:r>
        <w:t>Developers and software engineering students</w:t>
      </w:r>
    </w:p>
    <w:p>
      <w:pPr>
        <w:pStyle w:val="ListBullet"/>
        <w:spacing w:after="40"/>
      </w:pPr>
      <w:r>
        <w:t>Project owners and team leads</w:t>
      </w:r>
    </w:p>
    <w:p>
      <w:pPr>
        <w:pStyle w:val="ListBullet"/>
        <w:spacing w:after="40"/>
      </w:pPr>
      <w:r>
        <w:t>Read-only reviewers</w:t>
      </w:r>
    </w:p>
    <w:p>
      <w:pPr>
        <w:pStyle w:val="ListBullet"/>
        <w:spacing w:after="40"/>
      </w:pPr>
      <w:r>
        <w:t>System administrators and deployment operators</w:t>
      </w:r>
    </w:p>
    <w:p>
      <w:pPr>
        <w:pStyle w:val="Heading2"/>
        <w:keepNext/>
      </w:pPr>
      <w:r>
        <w:t>1.5 Definitions</w:t>
      </w:r>
    </w:p>
    <w:tbl>
      <w:tblPr>
        <w:tblStyle w:val="TableGrid"/>
        <w:tblW w:type="auto" w:w="0"/>
        <w:jc w:val="center"/>
        <w:tblLook w:firstColumn="1" w:firstRow="1" w:lastColumn="0" w:lastRow="0" w:noHBand="0" w:noVBand="1" w:val="04A0"/>
      </w:tblPr>
      <w:tblGrid>
        <w:gridCol w:w="5040"/>
        <w:gridCol w:w="5040"/>
      </w:tblGrid>
      <w:tr>
        <w:tc>
          <w:tcPr>
            <w:tcW w:type="dxa" w:w="2160"/>
            <w:shd w:fill="243B53"/>
          </w:tcPr>
          <w:p>
            <w:r>
              <w:rPr>
                <w:b/>
                <w:color w:val="FFFFFF"/>
                <w:sz w:val="16"/>
              </w:rPr>
              <w:t>Term</w:t>
            </w:r>
          </w:p>
        </w:tc>
        <w:tc>
          <w:tcPr>
            <w:tcW w:type="dxa" w:w="7920"/>
            <w:shd w:fill="243B53"/>
          </w:tcPr>
          <w:p>
            <w:r>
              <w:rPr>
                <w:b/>
                <w:color w:val="FFFFFF"/>
                <w:sz w:val="16"/>
              </w:rPr>
              <w:t>Definition</w:t>
            </w:r>
          </w:p>
        </w:tc>
      </w:tr>
      <w:tr>
        <w:tc>
          <w:tcPr>
            <w:tcW w:type="dxa" w:w="2160"/>
            <w:vAlign w:val="center"/>
          </w:tcPr>
          <w:p>
            <w:pPr>
              <w:spacing w:after="20"/>
            </w:pPr>
            <w:r>
              <w:rPr>
                <w:sz w:val="16"/>
              </w:rPr>
              <w:t>Analysis engine</w:t>
            </w:r>
          </w:p>
        </w:tc>
        <w:tc>
          <w:tcPr>
            <w:tcW w:type="dxa" w:w="7920"/>
            <w:vAlign w:val="center"/>
          </w:tcPr>
          <w:p>
            <w:pPr>
              <w:spacing w:after="20"/>
            </w:pPr>
            <w:r>
              <w:rPr>
                <w:sz w:val="16"/>
              </w:rPr>
              <w:t>Static analysis tool(s) that identify code issues.</w:t>
            </w:r>
          </w:p>
        </w:tc>
      </w:tr>
      <w:tr>
        <w:tc>
          <w:tcPr>
            <w:tcW w:type="dxa" w:w="2160"/>
            <w:vAlign w:val="center"/>
            <w:shd w:fill="F4F7FA"/>
          </w:tcPr>
          <w:p>
            <w:pPr>
              <w:spacing w:after="20"/>
            </w:pPr>
            <w:r>
              <w:rPr>
                <w:sz w:val="16"/>
              </w:rPr>
              <w:t>Adapter</w:t>
            </w:r>
          </w:p>
        </w:tc>
        <w:tc>
          <w:tcPr>
            <w:tcW w:type="dxa" w:w="7920"/>
            <w:vAlign w:val="center"/>
            <w:shd w:fill="F4F7FA"/>
          </w:tcPr>
          <w:p>
            <w:pPr>
              <w:spacing w:after="20"/>
            </w:pPr>
            <w:r>
              <w:rPr>
                <w:sz w:val="16"/>
              </w:rPr>
              <w:t>Replaceable integration translating provider data into Explicite AI interfaces.</w:t>
            </w:r>
          </w:p>
        </w:tc>
      </w:tr>
      <w:tr>
        <w:tc>
          <w:tcPr>
            <w:tcW w:type="dxa" w:w="2160"/>
            <w:vAlign w:val="center"/>
          </w:tcPr>
          <w:p>
            <w:pPr>
              <w:spacing w:after="20"/>
            </w:pPr>
            <w:r>
              <w:rPr>
                <w:sz w:val="16"/>
              </w:rPr>
              <w:t>Finding</w:t>
            </w:r>
          </w:p>
        </w:tc>
        <w:tc>
          <w:tcPr>
            <w:tcW w:type="dxa" w:w="7920"/>
            <w:vAlign w:val="center"/>
          </w:tcPr>
          <w:p>
            <w:pPr>
              <w:spacing w:after="20"/>
            </w:pPr>
            <w:r>
              <w:rPr>
                <w:sz w:val="16"/>
              </w:rPr>
              <w:t>Normalised record of a detected issue.</w:t>
            </w:r>
          </w:p>
        </w:tc>
      </w:tr>
      <w:tr>
        <w:tc>
          <w:tcPr>
            <w:tcW w:type="dxa" w:w="2160"/>
            <w:vAlign w:val="center"/>
            <w:shd w:fill="F4F7FA"/>
          </w:tcPr>
          <w:p>
            <w:pPr>
              <w:spacing w:after="20"/>
            </w:pPr>
            <w:r>
              <w:rPr>
                <w:sz w:val="16"/>
              </w:rPr>
              <w:t>Risk score</w:t>
            </w:r>
          </w:p>
        </w:tc>
        <w:tc>
          <w:tcPr>
            <w:tcW w:type="dxa" w:w="7920"/>
            <w:vAlign w:val="center"/>
            <w:shd w:fill="F4F7FA"/>
          </w:tcPr>
          <w:p>
            <w:pPr>
              <w:spacing w:after="20"/>
            </w:pPr>
            <w:r>
              <w:rPr>
                <w:sz w:val="16"/>
              </w:rPr>
              <w:t>Explicite AI's prioritisation score, separate from original engine severity.</w:t>
            </w:r>
          </w:p>
        </w:tc>
      </w:tr>
      <w:tr>
        <w:tc>
          <w:tcPr>
            <w:tcW w:type="dxa" w:w="2160"/>
            <w:vAlign w:val="center"/>
          </w:tcPr>
          <w:p>
            <w:pPr>
              <w:spacing w:after="20"/>
            </w:pPr>
            <w:r>
              <w:rPr>
                <w:sz w:val="16"/>
              </w:rPr>
              <w:t>LLM</w:t>
            </w:r>
          </w:p>
        </w:tc>
        <w:tc>
          <w:tcPr>
            <w:tcW w:type="dxa" w:w="7920"/>
            <w:vAlign w:val="center"/>
          </w:tcPr>
          <w:p>
            <w:pPr>
              <w:spacing w:after="20"/>
            </w:pPr>
            <w:r>
              <w:rPr>
                <w:sz w:val="16"/>
              </w:rPr>
              <w:t>Large language model used for explanation, learning assistance or fix proposals.</w:t>
            </w:r>
          </w:p>
        </w:tc>
      </w:tr>
      <w:tr>
        <w:tc>
          <w:tcPr>
            <w:tcW w:type="dxa" w:w="2160"/>
            <w:vAlign w:val="center"/>
            <w:shd w:fill="F4F7FA"/>
          </w:tcPr>
          <w:p>
            <w:pPr>
              <w:spacing w:after="20"/>
            </w:pPr>
            <w:r>
              <w:rPr>
                <w:sz w:val="16"/>
              </w:rPr>
              <w:t>Fix proposal</w:t>
            </w:r>
          </w:p>
        </w:tc>
        <w:tc>
          <w:tcPr>
            <w:tcW w:type="dxa" w:w="7920"/>
            <w:vAlign w:val="center"/>
            <w:shd w:fill="F4F7FA"/>
          </w:tcPr>
          <w:p>
            <w:pPr>
              <w:spacing w:after="20"/>
            </w:pPr>
            <w:r>
              <w:rPr>
                <w:sz w:val="16"/>
              </w:rPr>
              <w:t>Suggested change not necessarily validated.</w:t>
            </w:r>
          </w:p>
        </w:tc>
      </w:tr>
      <w:tr>
        <w:tc>
          <w:tcPr>
            <w:tcW w:type="dxa" w:w="2160"/>
            <w:vAlign w:val="center"/>
          </w:tcPr>
          <w:p>
            <w:pPr>
              <w:spacing w:after="20"/>
            </w:pPr>
            <w:r>
              <w:rPr>
                <w:sz w:val="16"/>
              </w:rPr>
              <w:t>Verified fix</w:t>
            </w:r>
          </w:p>
        </w:tc>
        <w:tc>
          <w:tcPr>
            <w:tcW w:type="dxa" w:w="7920"/>
            <w:vAlign w:val="center"/>
          </w:tcPr>
          <w:p>
            <w:pPr>
              <w:spacing w:after="20"/>
            </w:pPr>
            <w:r>
              <w:rPr>
                <w:sz w:val="16"/>
              </w:rPr>
              <w:t>A change whose specified re-analysis and claimed checks actually ran and produced recorded results.</w:t>
            </w:r>
          </w:p>
        </w:tc>
      </w:tr>
      <w:tr>
        <w:tc>
          <w:tcPr>
            <w:tcW w:type="dxa" w:w="2160"/>
            <w:vAlign w:val="center"/>
            <w:shd w:fill="F4F7FA"/>
          </w:tcPr>
          <w:p>
            <w:pPr>
              <w:spacing w:after="20"/>
            </w:pPr>
            <w:r>
              <w:rPr>
                <w:sz w:val="16"/>
              </w:rPr>
              <w:t>p95</w:t>
            </w:r>
          </w:p>
        </w:tc>
        <w:tc>
          <w:tcPr>
            <w:tcW w:type="dxa" w:w="7920"/>
            <w:vAlign w:val="center"/>
            <w:shd w:fill="F4F7FA"/>
          </w:tcPr>
          <w:p>
            <w:pPr>
              <w:spacing w:after="20"/>
            </w:pPr>
            <w:r>
              <w:rPr>
                <w:sz w:val="16"/>
              </w:rPr>
              <w:t>95th percentile of measured response time.</w:t>
            </w:r>
          </w:p>
        </w:tc>
      </w:tr>
    </w:tbl>
    <w:p/>
    <w:p>
      <w:pPr>
        <w:pStyle w:val="Heading1"/>
        <w:keepNext/>
      </w:pPr>
      <w:r>
        <w:t>2. Overall Description</w:t>
      </w:r>
    </w:p>
    <w:p>
      <w:pPr>
        <w:pStyle w:val="Heading2"/>
        <w:keepNext/>
      </w:pPr>
      <w:r>
        <w:t>2.1 Product Perspective</w:t>
      </w:r>
    </w:p>
    <w:p>
      <w:r>
        <w:t>The system comprises a React frontend, FastAPI backend, PostgreSQL persistence, replaceable analysis adapters, a configurable AI-provider layer and background workers for long-running operations. Code analysis and AI tasks shall be asynchronous.</w:t>
      </w:r>
    </w:p>
    <w:p>
      <w:pPr>
        <w:pStyle w:val="Heading2"/>
        <w:keepNext/>
      </w:pPr>
      <w:r>
        <w:t>2.2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243B53"/>
          </w:tcPr>
          <w:p>
            <w:r>
              <w:rPr>
                <w:b/>
                <w:color w:val="FFFFFF"/>
                <w:sz w:val="16"/>
              </w:rPr>
              <w:t>Layer</w:t>
            </w:r>
          </w:p>
        </w:tc>
        <w:tc>
          <w:tcPr>
            <w:tcW w:type="dxa" w:w="5760"/>
            <w:shd w:fill="243B53"/>
          </w:tcPr>
          <w:p>
            <w:r>
              <w:rPr>
                <w:b/>
                <w:color w:val="FFFFFF"/>
                <w:sz w:val="16"/>
              </w:rPr>
              <w:t>Responsibilities</w:t>
            </w:r>
          </w:p>
        </w:tc>
        <w:tc>
          <w:tcPr>
            <w:tcW w:type="dxa" w:w="2376"/>
            <w:shd w:fill="243B53"/>
          </w:tcPr>
          <w:p>
            <w:r>
              <w:rPr>
                <w:b/>
                <w:color w:val="FFFFFF"/>
                <w:sz w:val="16"/>
              </w:rPr>
              <w:t>Status</w:t>
            </w:r>
          </w:p>
        </w:tc>
      </w:tr>
      <w:tr>
        <w:tc>
          <w:tcPr>
            <w:tcW w:type="dxa" w:w="1944"/>
            <w:vAlign w:val="center"/>
          </w:tcPr>
          <w:p>
            <w:pPr>
              <w:spacing w:after="20"/>
            </w:pPr>
            <w:r>
              <w:rPr>
                <w:sz w:val="16"/>
              </w:rPr>
              <w:t>Frontend</w:t>
            </w:r>
          </w:p>
        </w:tc>
        <w:tc>
          <w:tcPr>
            <w:tcW w:type="dxa" w:w="5760"/>
            <w:vAlign w:val="center"/>
          </w:tcPr>
          <w:p>
            <w:pPr>
              <w:spacing w:after="20"/>
            </w:pPr>
            <w:r>
              <w:rPr>
                <w:sz w:val="16"/>
              </w:rPr>
              <w:t>Authentication, projects, dashboards, issue details, AI assistant, learning hub, diffs, settings</w:t>
            </w:r>
          </w:p>
        </w:tc>
        <w:tc>
          <w:tcPr>
            <w:tcW w:type="dxa" w:w="2376"/>
            <w:vAlign w:val="center"/>
          </w:tcPr>
          <w:p>
            <w:pPr>
              <w:spacing w:after="20"/>
            </w:pPr>
            <w:r>
              <w:rPr>
                <w:sz w:val="16"/>
              </w:rPr>
              <w:t>React + TypeScript + Vite agreed</w:t>
            </w:r>
          </w:p>
        </w:tc>
      </w:tr>
      <w:tr>
        <w:tc>
          <w:tcPr>
            <w:tcW w:type="dxa" w:w="1944"/>
            <w:vAlign w:val="center"/>
            <w:shd w:fill="F4F7FA"/>
          </w:tcPr>
          <w:p>
            <w:pPr>
              <w:spacing w:after="20"/>
            </w:pPr>
            <w:r>
              <w:rPr>
                <w:sz w:val="16"/>
              </w:rPr>
              <w:t>Backend</w:t>
            </w:r>
          </w:p>
        </w:tc>
        <w:tc>
          <w:tcPr>
            <w:tcW w:type="dxa" w:w="5760"/>
            <w:vAlign w:val="center"/>
            <w:shd w:fill="F4F7FA"/>
          </w:tcPr>
          <w:p>
            <w:pPr>
              <w:spacing w:after="20"/>
            </w:pPr>
            <w:r>
              <w:rPr>
                <w:sz w:val="16"/>
              </w:rPr>
              <w:t>Auth, access control, orchestration, scoring, provider adapters, audit and lifecycle rules</w:t>
            </w:r>
          </w:p>
        </w:tc>
        <w:tc>
          <w:tcPr>
            <w:tcW w:type="dxa" w:w="2376"/>
            <w:vAlign w:val="center"/>
            <w:shd w:fill="F4F7FA"/>
          </w:tcPr>
          <w:p>
            <w:pPr>
              <w:spacing w:after="20"/>
            </w:pPr>
            <w:r>
              <w:rPr>
                <w:sz w:val="16"/>
              </w:rPr>
              <w:t>Python + FastAPI agreed</w:t>
            </w:r>
          </w:p>
        </w:tc>
      </w:tr>
      <w:tr>
        <w:tc>
          <w:tcPr>
            <w:tcW w:type="dxa" w:w="1944"/>
            <w:vAlign w:val="center"/>
          </w:tcPr>
          <w:p>
            <w:pPr>
              <w:spacing w:after="20"/>
            </w:pPr>
            <w:r>
              <w:rPr>
                <w:sz w:val="16"/>
              </w:rPr>
              <w:t>Database</w:t>
            </w:r>
          </w:p>
        </w:tc>
        <w:tc>
          <w:tcPr>
            <w:tcW w:type="dxa" w:w="5760"/>
            <w:vAlign w:val="center"/>
          </w:tcPr>
          <w:p>
            <w:pPr>
              <w:spacing w:after="20"/>
            </w:pPr>
            <w:r>
              <w:rPr>
                <w:sz w:val="16"/>
              </w:rPr>
              <w:t>Users, projects, membership, findings, scores, conversations, lessons, fixes, jobs, audit</w:t>
            </w:r>
          </w:p>
        </w:tc>
        <w:tc>
          <w:tcPr>
            <w:tcW w:type="dxa" w:w="2376"/>
            <w:vAlign w:val="center"/>
          </w:tcPr>
          <w:p>
            <w:pPr>
              <w:spacing w:after="20"/>
            </w:pPr>
            <w:r>
              <w:rPr>
                <w:sz w:val="16"/>
              </w:rPr>
              <w:t>PostgreSQL agreed; schema pending</w:t>
            </w:r>
          </w:p>
        </w:tc>
      </w:tr>
      <w:tr>
        <w:tc>
          <w:tcPr>
            <w:tcW w:type="dxa" w:w="1944"/>
            <w:vAlign w:val="center"/>
            <w:shd w:fill="F4F7FA"/>
          </w:tcPr>
          <w:p>
            <w:pPr>
              <w:spacing w:after="20"/>
            </w:pPr>
            <w:r>
              <w:rPr>
                <w:sz w:val="16"/>
              </w:rPr>
              <w:t>Analysis abstraction</w:t>
            </w:r>
          </w:p>
        </w:tc>
        <w:tc>
          <w:tcPr>
            <w:tcW w:type="dxa" w:w="5760"/>
            <w:vAlign w:val="center"/>
            <w:shd w:fill="F4F7FA"/>
          </w:tcPr>
          <w:p>
            <w:pPr>
              <w:spacing w:after="20"/>
            </w:pPr>
            <w:r>
              <w:rPr>
                <w:sz w:val="16"/>
              </w:rPr>
              <w:t>Engine adapters, common finding schema, custom rules, normalisation</w:t>
            </w:r>
          </w:p>
        </w:tc>
        <w:tc>
          <w:tcPr>
            <w:tcW w:type="dxa" w:w="2376"/>
            <w:vAlign w:val="center"/>
            <w:shd w:fill="F4F7FA"/>
          </w:tcPr>
          <w:p>
            <w:pPr>
              <w:spacing w:after="20"/>
            </w:pPr>
            <w:r>
              <w:rPr>
                <w:sz w:val="16"/>
              </w:rPr>
              <w:t>Direction agreed; engine pending evaluation</w:t>
            </w:r>
          </w:p>
        </w:tc>
      </w:tr>
      <w:tr>
        <w:tc>
          <w:tcPr>
            <w:tcW w:type="dxa" w:w="1944"/>
            <w:vAlign w:val="center"/>
          </w:tcPr>
          <w:p>
            <w:pPr>
              <w:spacing w:after="20"/>
            </w:pPr>
            <w:r>
              <w:rPr>
                <w:sz w:val="16"/>
              </w:rPr>
              <w:t>AI abstraction</w:t>
            </w:r>
          </w:p>
        </w:tc>
        <w:tc>
          <w:tcPr>
            <w:tcW w:type="dxa" w:w="5760"/>
            <w:vAlign w:val="center"/>
          </w:tcPr>
          <w:p>
            <w:pPr>
              <w:spacing w:after="20"/>
            </w:pPr>
            <w:r>
              <w:rPr>
                <w:sz w:val="16"/>
              </w:rPr>
              <w:t>Model registry, local inference, external API, consent and cost controls</w:t>
            </w:r>
          </w:p>
        </w:tc>
        <w:tc>
          <w:tcPr>
            <w:tcW w:type="dxa" w:w="2376"/>
            <w:vAlign w:val="center"/>
          </w:tcPr>
          <w:p>
            <w:pPr>
              <w:spacing w:after="20"/>
            </w:pPr>
            <w:r>
              <w:rPr>
                <w:sz w:val="16"/>
              </w:rPr>
              <w:t>Direction agreed; default model pending</w:t>
            </w:r>
          </w:p>
        </w:tc>
      </w:tr>
      <w:tr>
        <w:tc>
          <w:tcPr>
            <w:tcW w:type="dxa" w:w="1944"/>
            <w:vAlign w:val="center"/>
            <w:shd w:fill="F4F7FA"/>
          </w:tcPr>
          <w:p>
            <w:pPr>
              <w:spacing w:after="20"/>
            </w:pPr>
            <w:r>
              <w:rPr>
                <w:sz w:val="16"/>
              </w:rPr>
              <w:t>Workers</w:t>
            </w:r>
          </w:p>
        </w:tc>
        <w:tc>
          <w:tcPr>
            <w:tcW w:type="dxa" w:w="5760"/>
            <w:vAlign w:val="center"/>
            <w:shd w:fill="F4F7FA"/>
          </w:tcPr>
          <w:p>
            <w:pPr>
              <w:spacing w:after="20"/>
            </w:pPr>
            <w:r>
              <w:rPr>
                <w:sz w:val="16"/>
              </w:rPr>
              <w:t>Analysis, AI, archive processing, fix verification and retention tasks</w:t>
            </w:r>
          </w:p>
        </w:tc>
        <w:tc>
          <w:tcPr>
            <w:tcW w:type="dxa" w:w="2376"/>
            <w:vAlign w:val="center"/>
            <w:shd w:fill="F4F7FA"/>
          </w:tcPr>
          <w:p>
            <w:pPr>
              <w:spacing w:after="20"/>
            </w:pPr>
            <w:r>
              <w:rPr>
                <w:sz w:val="16"/>
              </w:rPr>
              <w:t>Implementation choice pending</w:t>
            </w:r>
          </w:p>
        </w:tc>
      </w:tr>
      <w:tr>
        <w:tc>
          <w:tcPr>
            <w:tcW w:type="dxa" w:w="1944"/>
            <w:vAlign w:val="center"/>
          </w:tcPr>
          <w:p>
            <w:pPr>
              <w:spacing w:after="20"/>
            </w:pPr>
            <w:r>
              <w:rPr>
                <w:sz w:val="16"/>
              </w:rPr>
              <w:t>GitHub integration</w:t>
            </w:r>
          </w:p>
        </w:tc>
        <w:tc>
          <w:tcPr>
            <w:tcW w:type="dxa" w:w="5760"/>
            <w:vAlign w:val="center"/>
          </w:tcPr>
          <w:p>
            <w:pPr>
              <w:spacing w:after="20"/>
            </w:pPr>
            <w:r>
              <w:rPr>
                <w:sz w:val="16"/>
              </w:rPr>
              <w:t>OAuth/repository access, branches, pull requests, status</w:t>
            </w:r>
          </w:p>
        </w:tc>
        <w:tc>
          <w:tcPr>
            <w:tcW w:type="dxa" w:w="2376"/>
            <w:vAlign w:val="center"/>
          </w:tcPr>
          <w:p>
            <w:pPr>
              <w:spacing w:after="20"/>
            </w:pPr>
            <w:r>
              <w:rPr>
                <w:sz w:val="16"/>
              </w:rPr>
              <w:t>Required; API details pending</w:t>
            </w:r>
          </w:p>
        </w:tc>
      </w:tr>
    </w:tbl>
    <w:p/>
    <w:p>
      <w:pPr>
        <w:pStyle w:val="Heading2"/>
        <w:keepNext/>
      </w:pPr>
      <w:r>
        <w:t>2.3 Operating Environment</w:t>
      </w:r>
    </w:p>
    <w:p>
      <w:pPr>
        <w:pStyle w:val="ListBullet"/>
        <w:spacing w:after="40"/>
      </w:pPr>
      <w:r>
        <w:t>Modern desktop browser; responsive behaviour for common laptop and desktop sizes.</w:t>
      </w:r>
    </w:p>
    <w:p>
      <w:pPr>
        <w:pStyle w:val="ListBullet"/>
        <w:spacing w:after="40"/>
      </w:pPr>
      <w:r>
        <w:t>Server must support the API, database, background workers, selected analysis engines and configured local model.</w:t>
      </w:r>
    </w:p>
    <w:p>
      <w:pPr>
        <w:pStyle w:val="ListBullet"/>
        <w:spacing w:after="40"/>
      </w:pPr>
      <w:r>
        <w:t>Document hardware and supported deployment profile for each model/engine configuration.</w:t>
      </w:r>
    </w:p>
    <w:p>
      <w:pPr>
        <w:pStyle w:val="ListBullet"/>
        <w:spacing w:after="40"/>
      </w:pPr>
      <w:r>
        <w:t>Do not assume every deployment has a GPU or that every model has identical latency.</w:t>
      </w:r>
    </w:p>
    <w:p>
      <w:pPr>
        <w:pStyle w:val="Heading2"/>
        <w:keepNext/>
      </w:pPr>
      <w:r>
        <w:t>2.4 Input and Language Scope</w:t>
      </w:r>
    </w:p>
    <w:p>
      <w:r>
        <w:t>Inputs are ZIP uploads and authorised GitHub repositories. ZIP uploads are limited to 10 MB. Target languages are Java, Python, JavaScript, C++, HTML, CSS and TypeScript; actual language and rule coverage must be verified before support is advertised.</w:t>
      </w:r>
    </w:p>
    <w:p>
      <w:pPr>
        <w:pStyle w:val="Heading2"/>
        <w:keepNext/>
      </w:pPr>
      <w:r>
        <w:t>2.5 Product Boundaries</w:t>
      </w:r>
    </w:p>
    <w:p>
      <w:pPr>
        <w:pStyle w:val="ListBullet"/>
        <w:spacing w:after="40"/>
      </w:pPr>
      <w:r>
        <w:t>Explicite AI owns its user experience, internal finding schema, project permissions, scoring, learning, fix-review and verification workflows.</w:t>
      </w:r>
    </w:p>
    <w:p>
      <w:pPr>
        <w:pStyle w:val="ListBullet"/>
        <w:spacing w:after="40"/>
      </w:pPr>
      <w:r>
        <w:t>Core business logic shall not depend directly on a single vendor-specific result format.</w:t>
      </w:r>
    </w:p>
    <w:p>
      <w:pPr>
        <w:pStyle w:val="ListBullet"/>
        <w:spacing w:after="40"/>
      </w:pPr>
      <w:r>
        <w:t>Local inference is preferred; external API fallback is optional and consent-controlled.</w:t>
      </w:r>
    </w:p>
    <w:p>
      <w:pPr>
        <w:pStyle w:val="ListBullet"/>
        <w:spacing w:after="40"/>
      </w:pPr>
      <w:r>
        <w:t>AI output is assistance, not a guarantee that code is secure, correct or production-ready.</w:t>
      </w:r>
    </w:p>
    <w:p>
      <w:pPr>
        <w:pStyle w:val="Heading1"/>
        <w:keepNext/>
      </w:pPr>
      <w:r>
        <w:t>3. User Classes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243B53"/>
          </w:tcPr>
          <w:p>
            <w:r>
              <w:rPr>
                <w:b/>
                <w:color w:val="FFFFFF"/>
                <w:sz w:val="16"/>
              </w:rPr>
              <w:t>Role</w:t>
            </w:r>
          </w:p>
        </w:tc>
        <w:tc>
          <w:tcPr>
            <w:tcW w:type="dxa" w:w="4320"/>
            <w:shd w:fill="243B53"/>
          </w:tcPr>
          <w:p>
            <w:r>
              <w:rPr>
                <w:b/>
                <w:color w:val="FFFFFF"/>
                <w:sz w:val="16"/>
              </w:rPr>
              <w:t>Responsibilities</w:t>
            </w:r>
          </w:p>
        </w:tc>
        <w:tc>
          <w:tcPr>
            <w:tcW w:type="dxa" w:w="3600"/>
            <w:shd w:fill="243B53"/>
          </w:tcPr>
          <w:p>
            <w:r>
              <w:rPr>
                <w:b/>
                <w:color w:val="FFFFFF"/>
                <w:sz w:val="16"/>
              </w:rPr>
              <w:t>Boundaries</w:t>
            </w:r>
          </w:p>
        </w:tc>
      </w:tr>
      <w:tr>
        <w:tc>
          <w:tcPr>
            <w:tcW w:type="dxa" w:w="2160"/>
            <w:vAlign w:val="center"/>
          </w:tcPr>
          <w:p>
            <w:pPr>
              <w:spacing w:after="20"/>
            </w:pPr>
            <w:r>
              <w:rPr>
                <w:sz w:val="16"/>
              </w:rPr>
              <w:t>System Administrator</w:t>
            </w:r>
          </w:p>
        </w:tc>
        <w:tc>
          <w:tcPr>
            <w:tcW w:type="dxa" w:w="4320"/>
            <w:vAlign w:val="center"/>
          </w:tcPr>
          <w:p>
            <w:pPr>
              <w:spacing w:after="20"/>
            </w:pPr>
            <w:r>
              <w:rPr>
                <w:sz w:val="16"/>
              </w:rPr>
              <w:t>Deployment settings, users where permitted, model/engine configuration, retention and operations</w:t>
            </w:r>
          </w:p>
        </w:tc>
        <w:tc>
          <w:tcPr>
            <w:tcW w:type="dxa" w:w="3600"/>
            <w:vAlign w:val="center"/>
          </w:tcPr>
          <w:p>
            <w:pPr>
              <w:spacing w:after="20"/>
            </w:pPr>
            <w:r>
              <w:rPr>
                <w:sz w:val="16"/>
              </w:rPr>
              <w:t>Administrative privileges; source access should be limited and audited</w:t>
            </w:r>
          </w:p>
        </w:tc>
      </w:tr>
      <w:tr>
        <w:tc>
          <w:tcPr>
            <w:tcW w:type="dxa" w:w="2160"/>
            <w:vAlign w:val="center"/>
            <w:shd w:fill="F4F7FA"/>
          </w:tcPr>
          <w:p>
            <w:pPr>
              <w:spacing w:after="20"/>
            </w:pPr>
            <w:r>
              <w:rPr>
                <w:sz w:val="16"/>
              </w:rPr>
              <w:t>Project Owner</w:t>
            </w:r>
          </w:p>
        </w:tc>
        <w:tc>
          <w:tcPr>
            <w:tcW w:type="dxa" w:w="4320"/>
            <w:vAlign w:val="center"/>
            <w:shd w:fill="F4F7FA"/>
          </w:tcPr>
          <w:p>
            <w:pPr>
              <w:spacing w:after="20"/>
            </w:pPr>
            <w:r>
              <w:rPr>
                <w:sz w:val="16"/>
              </w:rPr>
              <w:t>Manage project, privacy settings, members and fix approvals</w:t>
            </w:r>
          </w:p>
        </w:tc>
        <w:tc>
          <w:tcPr>
            <w:tcW w:type="dxa" w:w="3600"/>
            <w:vAlign w:val="center"/>
            <w:shd w:fill="F4F7FA"/>
          </w:tcPr>
          <w:p>
            <w:pPr>
              <w:spacing w:after="20"/>
            </w:pPr>
            <w:r>
              <w:rPr>
                <w:sz w:val="16"/>
              </w:rPr>
              <w:t>Full control within owned projects</w:t>
            </w:r>
          </w:p>
        </w:tc>
      </w:tr>
      <w:tr>
        <w:tc>
          <w:tcPr>
            <w:tcW w:type="dxa" w:w="2160"/>
            <w:vAlign w:val="center"/>
          </w:tcPr>
          <w:p>
            <w:pPr>
              <w:spacing w:after="20"/>
            </w:pPr>
            <w:r>
              <w:rPr>
                <w:sz w:val="16"/>
              </w:rPr>
              <w:t>Developer / Collaborator</w:t>
            </w:r>
          </w:p>
        </w:tc>
        <w:tc>
          <w:tcPr>
            <w:tcW w:type="dxa" w:w="4320"/>
            <w:vAlign w:val="center"/>
          </w:tcPr>
          <w:p>
            <w:pPr>
              <w:spacing w:after="20"/>
            </w:pPr>
            <w:r>
              <w:rPr>
                <w:sz w:val="16"/>
              </w:rPr>
              <w:t>Run analysis, inspect issues, use AI/learning, propose fixes</w:t>
            </w:r>
          </w:p>
        </w:tc>
        <w:tc>
          <w:tcPr>
            <w:tcW w:type="dxa" w:w="3600"/>
            <w:vAlign w:val="center"/>
          </w:tcPr>
          <w:p>
            <w:pPr>
              <w:spacing w:after="20"/>
            </w:pPr>
            <w:r>
              <w:rPr>
                <w:sz w:val="16"/>
              </w:rPr>
              <w:t>Only permitted project actions; sensitive writes may require approval</w:t>
            </w:r>
          </w:p>
        </w:tc>
      </w:tr>
      <w:tr>
        <w:tc>
          <w:tcPr>
            <w:tcW w:type="dxa" w:w="2160"/>
            <w:vAlign w:val="center"/>
            <w:shd w:fill="F4F7FA"/>
          </w:tcPr>
          <w:p>
            <w:pPr>
              <w:spacing w:after="20"/>
            </w:pPr>
            <w:r>
              <w:rPr>
                <w:sz w:val="16"/>
              </w:rPr>
              <w:t>Read-Only Viewer</w:t>
            </w:r>
          </w:p>
        </w:tc>
        <w:tc>
          <w:tcPr>
            <w:tcW w:type="dxa" w:w="4320"/>
            <w:vAlign w:val="center"/>
            <w:shd w:fill="F4F7FA"/>
          </w:tcPr>
          <w:p>
            <w:pPr>
              <w:spacing w:after="20"/>
            </w:pPr>
            <w:r>
              <w:rPr>
                <w:sz w:val="16"/>
              </w:rPr>
              <w:t>View permitted dashboards, findings, explanations and reports</w:t>
            </w:r>
          </w:p>
        </w:tc>
        <w:tc>
          <w:tcPr>
            <w:tcW w:type="dxa" w:w="3600"/>
            <w:vAlign w:val="center"/>
            <w:shd w:fill="F4F7FA"/>
          </w:tcPr>
          <w:p>
            <w:pPr>
              <w:spacing w:after="20"/>
            </w:pPr>
            <w:r>
              <w:rPr>
                <w:sz w:val="16"/>
              </w:rPr>
              <w:t>Cannot modify projects, apply fixes or change settings</w:t>
            </w:r>
          </w:p>
        </w:tc>
      </w:tr>
    </w:tbl>
    <w:p/>
    <w:p>
      <w:r>
        <w:t>All project permissions shall be enforced server-side. Frontend visibility alone is not authorisation.</w:t>
      </w:r>
    </w:p>
    <w:p>
      <w:pPr>
        <w:pStyle w:val="Heading2"/>
        <w:keepNext/>
      </w:pPr>
      <w:r>
        <w:t>3.1 Authentication</w:t>
      </w:r>
    </w:p>
    <w:p>
      <w:pPr>
        <w:pStyle w:val="ListBullet"/>
        <w:spacing w:after="40"/>
      </w:pPr>
      <w:r>
        <w:t>Support email/password and GitHub OAuth login.</w:t>
      </w:r>
    </w:p>
    <w:p>
      <w:pPr>
        <w:pStyle w:val="ListBullet"/>
        <w:spacing w:after="40"/>
      </w:pPr>
      <w:r>
        <w:t>Require email verification for email/password accounts before protected functionality.</w:t>
      </w:r>
    </w:p>
    <w:p>
      <w:pPr>
        <w:pStyle w:val="ListBullet"/>
        <w:spacing w:after="40"/>
      </w:pPr>
      <w:r>
        <w:t>Provide secure password reset/account recovery.</w:t>
      </w:r>
    </w:p>
    <w:p>
      <w:pPr>
        <w:pStyle w:val="ListBullet"/>
        <w:spacing w:after="40"/>
      </w:pPr>
      <w:r>
        <w:t>Treat GitHub login and repository authorisation as distinct flows.</w:t>
      </w:r>
    </w:p>
    <w:p>
      <w:pPr>
        <w:pStyle w:val="ListBullet"/>
        <w:spacing w:after="40"/>
      </w:pPr>
      <w:r>
        <w:t>Request only necessary repository permissions; specify token/session expiry, revocation and storage details during secure design.</w:t>
      </w:r>
    </w:p>
    <w:p>
      <w:pPr>
        <w:pStyle w:val="Heading1"/>
        <w:keepNext/>
      </w:pPr>
      <w:r>
        <w:t>4. Functional Requirements</w:t>
      </w:r>
    </w:p>
    <w:p>
      <w:r>
        <w:t>Priority: P0 = required for MVP; P1 = important capability. Each acceptance statement is intended to be testable.</w:t>
      </w:r>
    </w:p>
    <w:p>
      <w:pPr>
        <w:pStyle w:val="Heading2"/>
        <w:keepNext/>
      </w:pPr>
      <w:r>
        <w:t>4.1 Authentication and Access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FR-AUTH-01</w:t>
            </w:r>
          </w:p>
        </w:tc>
        <w:tc>
          <w:tcPr>
            <w:tcW w:type="dxa" w:w="5184"/>
            <w:vAlign w:val="center"/>
          </w:tcPr>
          <w:p>
            <w:pPr>
              <w:spacing w:after="20"/>
            </w:pPr>
            <w:r>
              <w:rPr>
                <w:sz w:val="15"/>
              </w:rPr>
              <w:t>Register with email and password.</w:t>
            </w:r>
          </w:p>
        </w:tc>
        <w:tc>
          <w:tcPr>
            <w:tcW w:type="dxa" w:w="864"/>
            <w:vAlign w:val="center"/>
          </w:tcPr>
          <w:p>
            <w:pPr>
              <w:spacing w:after="20"/>
            </w:pPr>
            <w:r>
              <w:rPr>
                <w:sz w:val="15"/>
              </w:rPr>
              <w:t>P0</w:t>
            </w:r>
          </w:p>
        </w:tc>
        <w:tc>
          <w:tcPr>
            <w:tcW w:type="dxa" w:w="2880"/>
            <w:vAlign w:val="center"/>
          </w:tcPr>
          <w:p>
            <w:pPr>
              <w:spacing w:after="20"/>
            </w:pPr>
            <w:r>
              <w:rPr>
                <w:sz w:val="15"/>
              </w:rPr>
              <w:t>Valid account created; duplicate/invalid input rejected.</w:t>
            </w:r>
          </w:p>
        </w:tc>
      </w:tr>
      <w:tr>
        <w:tc>
          <w:tcPr>
            <w:tcW w:type="dxa" w:w="1224"/>
            <w:vAlign w:val="center"/>
            <w:shd w:fill="F4F7FA"/>
          </w:tcPr>
          <w:p>
            <w:pPr>
              <w:spacing w:after="20"/>
            </w:pPr>
            <w:r>
              <w:rPr>
                <w:sz w:val="15"/>
              </w:rPr>
              <w:t>FR-AUTH-02</w:t>
            </w:r>
          </w:p>
        </w:tc>
        <w:tc>
          <w:tcPr>
            <w:tcW w:type="dxa" w:w="5184"/>
            <w:vAlign w:val="center"/>
            <w:shd w:fill="F4F7FA"/>
          </w:tcPr>
          <w:p>
            <w:pPr>
              <w:spacing w:after="20"/>
            </w:pPr>
            <w:r>
              <w:rPr>
                <w:sz w:val="15"/>
              </w:rPr>
              <w:t>Support GitHub OAuth login.</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Success establishes session; failed/cancelled flow does not.</w:t>
            </w:r>
          </w:p>
        </w:tc>
      </w:tr>
      <w:tr>
        <w:tc>
          <w:tcPr>
            <w:tcW w:type="dxa" w:w="1224"/>
            <w:vAlign w:val="center"/>
          </w:tcPr>
          <w:p>
            <w:pPr>
              <w:spacing w:after="20"/>
            </w:pPr>
            <w:r>
              <w:rPr>
                <w:sz w:val="15"/>
              </w:rPr>
              <w:t>FR-AUTH-03</w:t>
            </w:r>
          </w:p>
        </w:tc>
        <w:tc>
          <w:tcPr>
            <w:tcW w:type="dxa" w:w="5184"/>
            <w:vAlign w:val="center"/>
          </w:tcPr>
          <w:p>
            <w:pPr>
              <w:spacing w:after="20"/>
            </w:pPr>
            <w:r>
              <w:rPr>
                <w:sz w:val="15"/>
              </w:rPr>
              <w:t>Verify email/password accounts before protected use.</w:t>
            </w:r>
          </w:p>
        </w:tc>
        <w:tc>
          <w:tcPr>
            <w:tcW w:type="dxa" w:w="864"/>
            <w:vAlign w:val="center"/>
          </w:tcPr>
          <w:p>
            <w:pPr>
              <w:spacing w:after="20"/>
            </w:pPr>
            <w:r>
              <w:rPr>
                <w:sz w:val="15"/>
              </w:rPr>
              <w:t>P0</w:t>
            </w:r>
          </w:p>
        </w:tc>
        <w:tc>
          <w:tcPr>
            <w:tcW w:type="dxa" w:w="2880"/>
            <w:vAlign w:val="center"/>
          </w:tcPr>
          <w:p>
            <w:pPr>
              <w:spacing w:after="20"/>
            </w:pPr>
            <w:r>
              <w:rPr>
                <w:sz w:val="15"/>
              </w:rPr>
              <w:t>Unverified accounts receive clear restrictions.</w:t>
            </w:r>
          </w:p>
        </w:tc>
      </w:tr>
      <w:tr>
        <w:tc>
          <w:tcPr>
            <w:tcW w:type="dxa" w:w="1224"/>
            <w:vAlign w:val="center"/>
            <w:shd w:fill="F4F7FA"/>
          </w:tcPr>
          <w:p>
            <w:pPr>
              <w:spacing w:after="20"/>
            </w:pPr>
            <w:r>
              <w:rPr>
                <w:sz w:val="15"/>
              </w:rPr>
              <w:t>FR-AUTH-04</w:t>
            </w:r>
          </w:p>
        </w:tc>
        <w:tc>
          <w:tcPr>
            <w:tcW w:type="dxa" w:w="5184"/>
            <w:vAlign w:val="center"/>
            <w:shd w:fill="F4F7FA"/>
          </w:tcPr>
          <w:p>
            <w:pPr>
              <w:spacing w:after="20"/>
            </w:pPr>
            <w:r>
              <w:rPr>
                <w:sz w:val="15"/>
              </w:rPr>
              <w:t>Provide time-limited, single-use password reset.</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Expired/reused reset token rejected.</w:t>
            </w:r>
          </w:p>
        </w:tc>
      </w:tr>
      <w:tr>
        <w:tc>
          <w:tcPr>
            <w:tcW w:type="dxa" w:w="1224"/>
            <w:vAlign w:val="center"/>
          </w:tcPr>
          <w:p>
            <w:pPr>
              <w:spacing w:after="20"/>
            </w:pPr>
            <w:r>
              <w:rPr>
                <w:sz w:val="15"/>
              </w:rPr>
              <w:t>FR-AUTH-05</w:t>
            </w:r>
          </w:p>
        </w:tc>
        <w:tc>
          <w:tcPr>
            <w:tcW w:type="dxa" w:w="5184"/>
            <w:vAlign w:val="center"/>
          </w:tcPr>
          <w:p>
            <w:pPr>
              <w:spacing w:after="20"/>
            </w:pPr>
            <w:r>
              <w:rPr>
                <w:sz w:val="15"/>
              </w:rPr>
              <w:t>Enforce role and project membership on every protected API operation.</w:t>
            </w:r>
          </w:p>
        </w:tc>
        <w:tc>
          <w:tcPr>
            <w:tcW w:type="dxa" w:w="864"/>
            <w:vAlign w:val="center"/>
          </w:tcPr>
          <w:p>
            <w:pPr>
              <w:spacing w:after="20"/>
            </w:pPr>
            <w:r>
              <w:rPr>
                <w:sz w:val="15"/>
              </w:rPr>
              <w:t>P0</w:t>
            </w:r>
          </w:p>
        </w:tc>
        <w:tc>
          <w:tcPr>
            <w:tcW w:type="dxa" w:w="2880"/>
            <w:vAlign w:val="center"/>
          </w:tcPr>
          <w:p>
            <w:pPr>
              <w:spacing w:after="20"/>
            </w:pPr>
            <w:r>
              <w:rPr>
                <w:sz w:val="15"/>
              </w:rPr>
              <w:t>Unauthorised direct API calls denied.</w:t>
            </w:r>
          </w:p>
        </w:tc>
      </w:tr>
      <w:tr>
        <w:tc>
          <w:tcPr>
            <w:tcW w:type="dxa" w:w="1224"/>
            <w:vAlign w:val="center"/>
            <w:shd w:fill="F4F7FA"/>
          </w:tcPr>
          <w:p>
            <w:pPr>
              <w:spacing w:after="20"/>
            </w:pPr>
            <w:r>
              <w:rPr>
                <w:sz w:val="15"/>
              </w:rPr>
              <w:t>FR-AUTH-06</w:t>
            </w:r>
          </w:p>
        </w:tc>
        <w:tc>
          <w:tcPr>
            <w:tcW w:type="dxa" w:w="5184"/>
            <w:vAlign w:val="center"/>
            <w:shd w:fill="F4F7FA"/>
          </w:tcPr>
          <w:p>
            <w:pPr>
              <w:spacing w:after="20"/>
            </w:pPr>
            <w:r>
              <w:rPr>
                <w:sz w:val="15"/>
              </w:rPr>
              <w:t>Support logout/session expiry.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Expired or invalid session cannot access protected resources.</w:t>
            </w:r>
          </w:p>
        </w:tc>
      </w:tr>
    </w:tbl>
    <w:p/>
    <w:p>
      <w:pPr>
        <w:pStyle w:val="Heading2"/>
        <w:keepNext/>
      </w:pPr>
      <w:r>
        <w:t>4.2 Projects and Source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FR-PROJ-01</w:t>
            </w:r>
          </w:p>
        </w:tc>
        <w:tc>
          <w:tcPr>
            <w:tcW w:type="dxa" w:w="5184"/>
            <w:vAlign w:val="center"/>
          </w:tcPr>
          <w:p>
            <w:pPr>
              <w:spacing w:after="20"/>
            </w:pPr>
            <w:r>
              <w:rPr>
                <w:sz w:val="15"/>
              </w:rPr>
              <w:t>Allow authorised users to create, view, update and archive projects.</w:t>
            </w:r>
          </w:p>
        </w:tc>
        <w:tc>
          <w:tcPr>
            <w:tcW w:type="dxa" w:w="864"/>
            <w:vAlign w:val="center"/>
          </w:tcPr>
          <w:p>
            <w:pPr>
              <w:spacing w:after="20"/>
            </w:pPr>
            <w:r>
              <w:rPr>
                <w:sz w:val="15"/>
              </w:rPr>
              <w:t>P0</w:t>
            </w:r>
          </w:p>
        </w:tc>
        <w:tc>
          <w:tcPr>
            <w:tcW w:type="dxa" w:w="2880"/>
            <w:vAlign w:val="center"/>
          </w:tcPr>
          <w:p>
            <w:pPr>
              <w:spacing w:after="20"/>
            </w:pPr>
            <w:r>
              <w:rPr>
                <w:sz w:val="15"/>
              </w:rPr>
              <w:t>Actions respect project role.</w:t>
            </w:r>
          </w:p>
        </w:tc>
      </w:tr>
      <w:tr>
        <w:tc>
          <w:tcPr>
            <w:tcW w:type="dxa" w:w="1224"/>
            <w:vAlign w:val="center"/>
            <w:shd w:fill="F4F7FA"/>
          </w:tcPr>
          <w:p>
            <w:pPr>
              <w:spacing w:after="20"/>
            </w:pPr>
            <w:r>
              <w:rPr>
                <w:sz w:val="15"/>
              </w:rPr>
              <w:t>FR-PROJ-02</w:t>
            </w:r>
          </w:p>
        </w:tc>
        <w:tc>
          <w:tcPr>
            <w:tcW w:type="dxa" w:w="5184"/>
            <w:vAlign w:val="center"/>
            <w:shd w:fill="F4F7FA"/>
          </w:tcPr>
          <w:p>
            <w:pPr>
              <w:spacing w:after="20"/>
            </w:pPr>
            <w:r>
              <w:rPr>
                <w:sz w:val="15"/>
              </w:rPr>
              <w:t>Accept ZIP files up to 10 MB and reject larger uploads.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Test below, at and above limit.</w:t>
            </w:r>
          </w:p>
        </w:tc>
      </w:tr>
      <w:tr>
        <w:tc>
          <w:tcPr>
            <w:tcW w:type="dxa" w:w="1224"/>
            <w:vAlign w:val="center"/>
          </w:tcPr>
          <w:p>
            <w:pPr>
              <w:spacing w:after="20"/>
            </w:pPr>
            <w:r>
              <w:rPr>
                <w:sz w:val="15"/>
              </w:rPr>
              <w:t>FR-PROJ-03</w:t>
            </w:r>
          </w:p>
        </w:tc>
        <w:tc>
          <w:tcPr>
            <w:tcW w:type="dxa" w:w="5184"/>
            <w:vAlign w:val="center"/>
          </w:tcPr>
          <w:p>
            <w:pPr>
              <w:spacing w:after="20"/>
            </w:pPr>
            <w:r>
              <w:rPr>
                <w:sz w:val="15"/>
              </w:rPr>
              <w:t>Safely inspect/extract archives with path and resource protections.</w:t>
            </w:r>
          </w:p>
        </w:tc>
        <w:tc>
          <w:tcPr>
            <w:tcW w:type="dxa" w:w="864"/>
            <w:vAlign w:val="center"/>
          </w:tcPr>
          <w:p>
            <w:pPr>
              <w:spacing w:after="20"/>
            </w:pPr>
            <w:r>
              <w:rPr>
                <w:sz w:val="15"/>
              </w:rPr>
              <w:t>P0</w:t>
            </w:r>
          </w:p>
        </w:tc>
        <w:tc>
          <w:tcPr>
            <w:tcW w:type="dxa" w:w="2880"/>
            <w:vAlign w:val="center"/>
          </w:tcPr>
          <w:p>
            <w:pPr>
              <w:spacing w:after="20"/>
            </w:pPr>
            <w:r>
              <w:rPr>
                <w:sz w:val="15"/>
              </w:rPr>
              <w:t>Traversal and expansion/resource violations blocked.</w:t>
            </w:r>
          </w:p>
        </w:tc>
      </w:tr>
      <w:tr>
        <w:tc>
          <w:tcPr>
            <w:tcW w:type="dxa" w:w="1224"/>
            <w:vAlign w:val="center"/>
            <w:shd w:fill="F4F7FA"/>
          </w:tcPr>
          <w:p>
            <w:pPr>
              <w:spacing w:after="20"/>
            </w:pPr>
            <w:r>
              <w:rPr>
                <w:sz w:val="15"/>
              </w:rPr>
              <w:t>FR-PROJ-04</w:t>
            </w:r>
          </w:p>
        </w:tc>
        <w:tc>
          <w:tcPr>
            <w:tcW w:type="dxa" w:w="5184"/>
            <w:vAlign w:val="center"/>
            <w:shd w:fill="F4F7FA"/>
          </w:tcPr>
          <w:p>
            <w:pPr>
              <w:spacing w:after="20"/>
            </w:pPr>
            <w:r>
              <w:rPr>
                <w:sz w:val="15"/>
              </w:rPr>
              <w:t>Connect an authorised GitHub repository.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Repository identity/access checked before import.</w:t>
            </w:r>
          </w:p>
        </w:tc>
      </w:tr>
      <w:tr>
        <w:tc>
          <w:tcPr>
            <w:tcW w:type="dxa" w:w="1224"/>
            <w:vAlign w:val="center"/>
          </w:tcPr>
          <w:p>
            <w:pPr>
              <w:spacing w:after="20"/>
            </w:pPr>
            <w:r>
              <w:rPr>
                <w:sz w:val="15"/>
              </w:rPr>
              <w:t>FR-PROJ-05</w:t>
            </w:r>
          </w:p>
        </w:tc>
        <w:tc>
          <w:tcPr>
            <w:tcW w:type="dxa" w:w="5184"/>
            <w:vAlign w:val="center"/>
          </w:tcPr>
          <w:p>
            <w:pPr>
              <w:spacing w:after="20"/>
            </w:pPr>
            <w:r>
              <w:rPr>
                <w:sz w:val="15"/>
              </w:rPr>
              <w:t>Record source origin and source revision/version.</w:t>
            </w:r>
          </w:p>
        </w:tc>
        <w:tc>
          <w:tcPr>
            <w:tcW w:type="dxa" w:w="864"/>
            <w:vAlign w:val="center"/>
          </w:tcPr>
          <w:p>
            <w:pPr>
              <w:spacing w:after="20"/>
            </w:pPr>
            <w:r>
              <w:rPr>
                <w:sz w:val="15"/>
              </w:rPr>
              <w:t>P0</w:t>
            </w:r>
          </w:p>
        </w:tc>
        <w:tc>
          <w:tcPr>
            <w:tcW w:type="dxa" w:w="2880"/>
            <w:vAlign w:val="center"/>
          </w:tcPr>
          <w:p>
            <w:pPr>
              <w:spacing w:after="20"/>
            </w:pPr>
            <w:r>
              <w:rPr>
                <w:sz w:val="15"/>
              </w:rPr>
              <w:t>User can identify the analysed revision.</w:t>
            </w:r>
          </w:p>
        </w:tc>
      </w:tr>
      <w:tr>
        <w:tc>
          <w:tcPr>
            <w:tcW w:type="dxa" w:w="1224"/>
            <w:vAlign w:val="center"/>
            <w:shd w:fill="F4F7FA"/>
          </w:tcPr>
          <w:p>
            <w:pPr>
              <w:spacing w:after="20"/>
            </w:pPr>
            <w:r>
              <w:rPr>
                <w:sz w:val="15"/>
              </w:rPr>
              <w:t>FR-PROJ-06</w:t>
            </w:r>
          </w:p>
        </w:tc>
        <w:tc>
          <w:tcPr>
            <w:tcW w:type="dxa" w:w="5184"/>
            <w:vAlign w:val="center"/>
            <w:shd w:fill="F4F7FA"/>
          </w:tcPr>
          <w:p>
            <w:pPr>
              <w:spacing w:after="20"/>
            </w:pPr>
            <w:r>
              <w:rPr>
                <w:sz w:val="15"/>
              </w:rPr>
              <w:t>Detect/warn about likely secrets and sensitive files where feasible.</w:t>
            </w:r>
          </w:p>
        </w:tc>
        <w:tc>
          <w:tcPr>
            <w:tcW w:type="dxa" w:w="864"/>
            <w:vAlign w:val="center"/>
            <w:shd w:fill="F4F7FA"/>
          </w:tcPr>
          <w:p>
            <w:pPr>
              <w:spacing w:after="20"/>
            </w:pPr>
            <w:r>
              <w:rPr>
                <w:sz w:val="15"/>
              </w:rPr>
              <w:t>P1</w:t>
            </w:r>
          </w:p>
        </w:tc>
        <w:tc>
          <w:tcPr>
            <w:tcW w:type="dxa" w:w="2880"/>
            <w:vAlign w:val="center"/>
            <w:shd w:fill="F4F7FA"/>
          </w:tcPr>
          <w:p>
            <w:pPr>
              <w:spacing w:after="20"/>
            </w:pPr>
            <w:r>
              <w:rPr>
                <w:sz w:val="15"/>
              </w:rPr>
              <w:t>Warnings avoid unnecessarily exposing secret values.</w:t>
            </w:r>
          </w:p>
        </w:tc>
      </w:tr>
      <w:tr>
        <w:tc>
          <w:tcPr>
            <w:tcW w:type="dxa" w:w="1224"/>
            <w:vAlign w:val="center"/>
          </w:tcPr>
          <w:p>
            <w:pPr>
              <w:spacing w:after="20"/>
            </w:pPr>
            <w:r>
              <w:rPr>
                <w:sz w:val="15"/>
              </w:rPr>
              <w:t>FR-PROJ-07</w:t>
            </w:r>
          </w:p>
        </w:tc>
        <w:tc>
          <w:tcPr>
            <w:tcW w:type="dxa" w:w="5184"/>
            <w:vAlign w:val="center"/>
          </w:tcPr>
          <w:p>
            <w:pPr>
              <w:spacing w:after="20"/>
            </w:pPr>
            <w:r>
              <w:rPr>
                <w:sz w:val="15"/>
              </w:rPr>
              <w:t>Enforce project data isolation.</w:t>
            </w:r>
          </w:p>
        </w:tc>
        <w:tc>
          <w:tcPr>
            <w:tcW w:type="dxa" w:w="864"/>
            <w:vAlign w:val="center"/>
          </w:tcPr>
          <w:p>
            <w:pPr>
              <w:spacing w:after="20"/>
            </w:pPr>
            <w:r>
              <w:rPr>
                <w:sz w:val="15"/>
              </w:rPr>
              <w:t>P0</w:t>
            </w:r>
          </w:p>
        </w:tc>
        <w:tc>
          <w:tcPr>
            <w:tcW w:type="dxa" w:w="2880"/>
            <w:vAlign w:val="center"/>
          </w:tcPr>
          <w:p>
            <w:pPr>
              <w:spacing w:after="20"/>
            </w:pPr>
            <w:r>
              <w:rPr>
                <w:sz w:val="15"/>
              </w:rPr>
              <w:t>No access without explicit project permission.</w:t>
            </w:r>
          </w:p>
        </w:tc>
      </w:tr>
    </w:tbl>
    <w:p/>
    <w:p>
      <w:pPr>
        <w:pStyle w:val="Heading2"/>
        <w:keepNext/>
      </w:pPr>
      <w:r>
        <w:t>4.3 Analysis and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FR-AN-01</w:t>
            </w:r>
          </w:p>
        </w:tc>
        <w:tc>
          <w:tcPr>
            <w:tcW w:type="dxa" w:w="5184"/>
            <w:vAlign w:val="center"/>
          </w:tcPr>
          <w:p>
            <w:pPr>
              <w:spacing w:after="20"/>
            </w:pPr>
            <w:r>
              <w:rPr>
                <w:sz w:val="15"/>
              </w:rPr>
              <w:t>Run analysis asynchronously and return a job identifier.</w:t>
            </w:r>
          </w:p>
        </w:tc>
        <w:tc>
          <w:tcPr>
            <w:tcW w:type="dxa" w:w="864"/>
            <w:vAlign w:val="center"/>
          </w:tcPr>
          <w:p>
            <w:pPr>
              <w:spacing w:after="20"/>
            </w:pPr>
            <w:r>
              <w:rPr>
                <w:sz w:val="15"/>
              </w:rPr>
              <w:t>P0</w:t>
            </w:r>
          </w:p>
        </w:tc>
        <w:tc>
          <w:tcPr>
            <w:tcW w:type="dxa" w:w="2880"/>
            <w:vAlign w:val="center"/>
          </w:tcPr>
          <w:p>
            <w:pPr>
              <w:spacing w:after="20"/>
            </w:pPr>
            <w:r>
              <w:rPr>
                <w:sz w:val="15"/>
              </w:rPr>
              <w:t>Request does not wait for full analysis.</w:t>
            </w:r>
          </w:p>
        </w:tc>
      </w:tr>
      <w:tr>
        <w:tc>
          <w:tcPr>
            <w:tcW w:type="dxa" w:w="1224"/>
            <w:vAlign w:val="center"/>
            <w:shd w:fill="F4F7FA"/>
          </w:tcPr>
          <w:p>
            <w:pPr>
              <w:spacing w:after="20"/>
            </w:pPr>
            <w:r>
              <w:rPr>
                <w:sz w:val="15"/>
              </w:rPr>
              <w:t>FR-AN-02</w:t>
            </w:r>
          </w:p>
        </w:tc>
        <w:tc>
          <w:tcPr>
            <w:tcW w:type="dxa" w:w="5184"/>
            <w:vAlign w:val="center"/>
            <w:shd w:fill="F4F7FA"/>
          </w:tcPr>
          <w:p>
            <w:pPr>
              <w:spacing w:after="20"/>
            </w:pPr>
            <w:r>
              <w:rPr>
                <w:sz w:val="15"/>
              </w:rPr>
              <w:t>Expose queued, running, completed, failed and cancelled states where supported.</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Displayed state matches backend.</w:t>
            </w:r>
          </w:p>
        </w:tc>
      </w:tr>
      <w:tr>
        <w:tc>
          <w:tcPr>
            <w:tcW w:type="dxa" w:w="1224"/>
            <w:vAlign w:val="center"/>
          </w:tcPr>
          <w:p>
            <w:pPr>
              <w:spacing w:after="20"/>
            </w:pPr>
            <w:r>
              <w:rPr>
                <w:sz w:val="15"/>
              </w:rPr>
              <w:t>FR-AN-03</w:t>
            </w:r>
          </w:p>
        </w:tc>
        <w:tc>
          <w:tcPr>
            <w:tcW w:type="dxa" w:w="5184"/>
            <w:vAlign w:val="center"/>
          </w:tcPr>
          <w:p>
            <w:pPr>
              <w:spacing w:after="20"/>
            </w:pPr>
            <w:r>
              <w:rPr>
                <w:sz w:val="15"/>
              </w:rPr>
              <w:t>Preserve original engine severity separately from Explicite AI risk score.</w:t>
            </w:r>
          </w:p>
        </w:tc>
        <w:tc>
          <w:tcPr>
            <w:tcW w:type="dxa" w:w="864"/>
            <w:vAlign w:val="center"/>
          </w:tcPr>
          <w:p>
            <w:pPr>
              <w:spacing w:after="20"/>
            </w:pPr>
            <w:r>
              <w:rPr>
                <w:sz w:val="15"/>
              </w:rPr>
              <w:t>P0</w:t>
            </w:r>
          </w:p>
        </w:tc>
        <w:tc>
          <w:tcPr>
            <w:tcW w:type="dxa" w:w="2880"/>
            <w:vAlign w:val="center"/>
          </w:tcPr>
          <w:p>
            <w:pPr>
              <w:spacing w:after="20"/>
            </w:pPr>
            <w:r>
              <w:rPr>
                <w:sz w:val="15"/>
              </w:rPr>
              <w:t>Both values independently stored/displayed.</w:t>
            </w:r>
          </w:p>
        </w:tc>
      </w:tr>
      <w:tr>
        <w:tc>
          <w:tcPr>
            <w:tcW w:type="dxa" w:w="1224"/>
            <w:vAlign w:val="center"/>
            <w:shd w:fill="F4F7FA"/>
          </w:tcPr>
          <w:p>
            <w:pPr>
              <w:spacing w:after="20"/>
            </w:pPr>
            <w:r>
              <w:rPr>
                <w:sz w:val="15"/>
              </w:rPr>
              <w:t>FR-AN-04</w:t>
            </w:r>
          </w:p>
        </w:tc>
        <w:tc>
          <w:tcPr>
            <w:tcW w:type="dxa" w:w="5184"/>
            <w:vAlign w:val="center"/>
            <w:shd w:fill="F4F7FA"/>
          </w:tcPr>
          <w:p>
            <w:pPr>
              <w:spacing w:after="20"/>
            </w:pPr>
            <w:r>
              <w:rPr>
                <w:sz w:val="15"/>
              </w:rPr>
              <w:t>Normalise engine results into a provider-independent schema.</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Adapter maps required fields consistently.</w:t>
            </w:r>
          </w:p>
        </w:tc>
      </w:tr>
      <w:tr>
        <w:tc>
          <w:tcPr>
            <w:tcW w:type="dxa" w:w="1224"/>
            <w:vAlign w:val="center"/>
          </w:tcPr>
          <w:p>
            <w:pPr>
              <w:spacing w:after="20"/>
            </w:pPr>
            <w:r>
              <w:rPr>
                <w:sz w:val="15"/>
              </w:rPr>
              <w:t>FR-AN-05</w:t>
            </w:r>
          </w:p>
        </w:tc>
        <w:tc>
          <w:tcPr>
            <w:tcW w:type="dxa" w:w="5184"/>
            <w:vAlign w:val="center"/>
          </w:tcPr>
          <w:p>
            <w:pPr>
              <w:spacing w:after="20"/>
            </w:pPr>
            <w:r>
              <w:rPr>
                <w:sz w:val="15"/>
              </w:rPr>
              <w:t>Display issue location, category, description, severity, source engine and available evidence.</w:t>
            </w:r>
          </w:p>
        </w:tc>
        <w:tc>
          <w:tcPr>
            <w:tcW w:type="dxa" w:w="864"/>
            <w:vAlign w:val="center"/>
          </w:tcPr>
          <w:p>
            <w:pPr>
              <w:spacing w:after="20"/>
            </w:pPr>
            <w:r>
              <w:rPr>
                <w:sz w:val="15"/>
              </w:rPr>
              <w:t>P0</w:t>
            </w:r>
          </w:p>
        </w:tc>
        <w:tc>
          <w:tcPr>
            <w:tcW w:type="dxa" w:w="2880"/>
            <w:vAlign w:val="center"/>
          </w:tcPr>
          <w:p>
            <w:pPr>
              <w:spacing w:after="20"/>
            </w:pPr>
            <w:r>
              <w:rPr>
                <w:sz w:val="15"/>
              </w:rPr>
              <w:t>Issue detail reflects returned data.</w:t>
            </w:r>
          </w:p>
        </w:tc>
      </w:tr>
      <w:tr>
        <w:tc>
          <w:tcPr>
            <w:tcW w:type="dxa" w:w="1224"/>
            <w:vAlign w:val="center"/>
            <w:shd w:fill="F4F7FA"/>
          </w:tcPr>
          <w:p>
            <w:pPr>
              <w:spacing w:after="20"/>
            </w:pPr>
            <w:r>
              <w:rPr>
                <w:sz w:val="15"/>
              </w:rPr>
              <w:t>FR-AN-06</w:t>
            </w:r>
          </w:p>
        </w:tc>
        <w:tc>
          <w:tcPr>
            <w:tcW w:type="dxa" w:w="5184"/>
            <w:vAlign w:val="center"/>
            <w:shd w:fill="F4F7FA"/>
          </w:tcPr>
          <w:p>
            <w:pPr>
              <w:spacing w:after="20"/>
            </w:pPr>
            <w:r>
              <w:rPr>
                <w:sz w:val="15"/>
              </w:rPr>
              <w:t>Represent unsupported files and partial failures honestly.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No false claim of complete successful analysis.</w:t>
            </w:r>
          </w:p>
        </w:tc>
      </w:tr>
      <w:tr>
        <w:tc>
          <w:tcPr>
            <w:tcW w:type="dxa" w:w="1224"/>
            <w:vAlign w:val="center"/>
          </w:tcPr>
          <w:p>
            <w:pPr>
              <w:spacing w:after="20"/>
            </w:pPr>
            <w:r>
              <w:rPr>
                <w:sz w:val="15"/>
              </w:rPr>
              <w:t>FR-AN-07</w:t>
            </w:r>
          </w:p>
        </w:tc>
        <w:tc>
          <w:tcPr>
            <w:tcW w:type="dxa" w:w="5184"/>
            <w:vAlign w:val="center"/>
          </w:tcPr>
          <w:p>
            <w:pPr>
              <w:spacing w:after="20"/>
            </w:pPr>
            <w:r>
              <w:rPr>
                <w:sz w:val="15"/>
              </w:rPr>
              <w:t>Filter, sort and search findings.</w:t>
            </w:r>
          </w:p>
        </w:tc>
        <w:tc>
          <w:tcPr>
            <w:tcW w:type="dxa" w:w="864"/>
            <w:vAlign w:val="center"/>
          </w:tcPr>
          <w:p>
            <w:pPr>
              <w:spacing w:after="20"/>
            </w:pPr>
            <w:r>
              <w:rPr>
                <w:sz w:val="15"/>
              </w:rPr>
              <w:t>P0</w:t>
            </w:r>
          </w:p>
        </w:tc>
        <w:tc>
          <w:tcPr>
            <w:tcW w:type="dxa" w:w="2880"/>
            <w:vAlign w:val="center"/>
          </w:tcPr>
          <w:p>
            <w:pPr>
              <w:spacing w:after="20"/>
            </w:pPr>
            <w:r>
              <w:rPr>
                <w:sz w:val="15"/>
              </w:rPr>
              <w:t>Results consistently match query and filters.</w:t>
            </w:r>
          </w:p>
        </w:tc>
      </w:tr>
    </w:tbl>
    <w:p/>
    <w:p>
      <w:pPr>
        <w:pStyle w:val="Heading2"/>
        <w:keepNext/>
      </w:pPr>
      <w:r>
        <w:t>4.4 Risk Scoring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FR-RISK-01</w:t>
            </w:r>
          </w:p>
        </w:tc>
        <w:tc>
          <w:tcPr>
            <w:tcW w:type="dxa" w:w="5184"/>
            <w:vAlign w:val="center"/>
          </w:tcPr>
          <w:p>
            <w:pPr>
              <w:spacing w:after="20"/>
            </w:pPr>
            <w:r>
              <w:rPr>
                <w:sz w:val="15"/>
              </w:rPr>
              <w:t>Calculate Explicite AI risk score separately from engine severity.</w:t>
            </w:r>
          </w:p>
        </w:tc>
        <w:tc>
          <w:tcPr>
            <w:tcW w:type="dxa" w:w="864"/>
            <w:vAlign w:val="center"/>
          </w:tcPr>
          <w:p>
            <w:pPr>
              <w:spacing w:after="20"/>
            </w:pPr>
            <w:r>
              <w:rPr>
                <w:sz w:val="15"/>
              </w:rPr>
              <w:t>P0</w:t>
            </w:r>
          </w:p>
        </w:tc>
        <w:tc>
          <w:tcPr>
            <w:tcW w:type="dxa" w:w="2880"/>
            <w:vAlign w:val="center"/>
          </w:tcPr>
          <w:p>
            <w:pPr>
              <w:spacing w:after="20"/>
            </w:pPr>
            <w:r>
              <w:rPr>
                <w:sz w:val="15"/>
              </w:rPr>
              <w:t>Both remain distinct.</w:t>
            </w:r>
          </w:p>
        </w:tc>
      </w:tr>
      <w:tr>
        <w:tc>
          <w:tcPr>
            <w:tcW w:type="dxa" w:w="1224"/>
            <w:vAlign w:val="center"/>
            <w:shd w:fill="F4F7FA"/>
          </w:tcPr>
          <w:p>
            <w:pPr>
              <w:spacing w:after="20"/>
            </w:pPr>
            <w:r>
              <w:rPr>
                <w:sz w:val="15"/>
              </w:rPr>
              <w:t>FR-RISK-02</w:t>
            </w:r>
          </w:p>
        </w:tc>
        <w:tc>
          <w:tcPr>
            <w:tcW w:type="dxa" w:w="5184"/>
            <w:vAlign w:val="center"/>
            <w:shd w:fill="F4F7FA"/>
          </w:tcPr>
          <w:p>
            <w:pPr>
              <w:spacing w:after="20"/>
            </w:pPr>
            <w:r>
              <w:rPr>
                <w:sz w:val="15"/>
              </w:rPr>
              <w:t>Consider severity, confidence, exploitability, code context and business impact when evidence exists.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Score identifies used/missing factors.</w:t>
            </w:r>
          </w:p>
        </w:tc>
      </w:tr>
      <w:tr>
        <w:tc>
          <w:tcPr>
            <w:tcW w:type="dxa" w:w="1224"/>
            <w:vAlign w:val="center"/>
          </w:tcPr>
          <w:p>
            <w:pPr>
              <w:spacing w:after="20"/>
            </w:pPr>
            <w:r>
              <w:rPr>
                <w:sz w:val="15"/>
              </w:rPr>
              <w:t>FR-RISK-03</w:t>
            </w:r>
          </w:p>
        </w:tc>
        <w:tc>
          <w:tcPr>
            <w:tcW w:type="dxa" w:w="5184"/>
            <w:vAlign w:val="center"/>
          </w:tcPr>
          <w:p>
            <w:pPr>
              <w:spacing w:after="20"/>
            </w:pPr>
            <w:r>
              <w:rPr>
                <w:sz w:val="15"/>
              </w:rPr>
              <w:t>Use deterministic, versioned rules for the same inputs and model version.</w:t>
            </w:r>
          </w:p>
        </w:tc>
        <w:tc>
          <w:tcPr>
            <w:tcW w:type="dxa" w:w="864"/>
            <w:vAlign w:val="center"/>
          </w:tcPr>
          <w:p>
            <w:pPr>
              <w:spacing w:after="20"/>
            </w:pPr>
            <w:r>
              <w:rPr>
                <w:sz w:val="15"/>
              </w:rPr>
              <w:t>P0</w:t>
            </w:r>
          </w:p>
        </w:tc>
        <w:tc>
          <w:tcPr>
            <w:tcW w:type="dxa" w:w="2880"/>
            <w:vAlign w:val="center"/>
          </w:tcPr>
          <w:p>
            <w:pPr>
              <w:spacing w:after="20"/>
            </w:pPr>
            <w:r>
              <w:rPr>
                <w:sz w:val="15"/>
              </w:rPr>
              <w:t>Repeated result matches defined numeric precision.</w:t>
            </w:r>
          </w:p>
        </w:tc>
      </w:tr>
      <w:tr>
        <w:tc>
          <w:tcPr>
            <w:tcW w:type="dxa" w:w="1224"/>
            <w:vAlign w:val="center"/>
            <w:shd w:fill="F4F7FA"/>
          </w:tcPr>
          <w:p>
            <w:pPr>
              <w:spacing w:after="20"/>
            </w:pPr>
            <w:r>
              <w:rPr>
                <w:sz w:val="15"/>
              </w:rPr>
              <w:t>FR-RISK-04</w:t>
            </w:r>
          </w:p>
        </w:tc>
        <w:tc>
          <w:tcPr>
            <w:tcW w:type="dxa" w:w="5184"/>
            <w:vAlign w:val="center"/>
            <w:shd w:fill="F4F7FA"/>
          </w:tcPr>
          <w:p>
            <w:pPr>
              <w:spacing w:after="20"/>
            </w:pPr>
            <w:r>
              <w:rPr>
                <w:sz w:val="15"/>
              </w:rPr>
              <w:t>Support calibrated weights/thresholds and project-specific configuration if enabled.</w:t>
            </w:r>
          </w:p>
        </w:tc>
        <w:tc>
          <w:tcPr>
            <w:tcW w:type="dxa" w:w="864"/>
            <w:vAlign w:val="center"/>
            <w:shd w:fill="F4F7FA"/>
          </w:tcPr>
          <w:p>
            <w:pPr>
              <w:spacing w:after="20"/>
            </w:pPr>
            <w:r>
              <w:rPr>
                <w:sz w:val="15"/>
              </w:rPr>
              <w:t>P1</w:t>
            </w:r>
          </w:p>
        </w:tc>
        <w:tc>
          <w:tcPr>
            <w:tcW w:type="dxa" w:w="2880"/>
            <w:vAlign w:val="center"/>
            <w:shd w:fill="F4F7FA"/>
          </w:tcPr>
          <w:p>
            <w:pPr>
              <w:spacing w:after="20"/>
            </w:pPr>
            <w:r>
              <w:rPr>
                <w:sz w:val="15"/>
              </w:rPr>
              <w:t>Invalid settings rejected; valid settings applied.</w:t>
            </w:r>
          </w:p>
        </w:tc>
      </w:tr>
      <w:tr>
        <w:tc>
          <w:tcPr>
            <w:tcW w:type="dxa" w:w="1224"/>
            <w:vAlign w:val="center"/>
          </w:tcPr>
          <w:p>
            <w:pPr>
              <w:spacing w:after="20"/>
            </w:pPr>
            <w:r>
              <w:rPr>
                <w:sz w:val="15"/>
              </w:rPr>
              <w:t>FR-RISK-05</w:t>
            </w:r>
          </w:p>
        </w:tc>
        <w:tc>
          <w:tcPr>
            <w:tcW w:type="dxa" w:w="5184"/>
            <w:vAlign w:val="center"/>
          </w:tcPr>
          <w:p>
            <w:pPr>
              <w:spacing w:after="20"/>
            </w:pPr>
            <w:r>
              <w:rPr>
                <w:sz w:val="15"/>
              </w:rPr>
              <w:t>Handle uncertainty and avoid double-counting correlated factors where practicable.</w:t>
            </w:r>
          </w:p>
        </w:tc>
        <w:tc>
          <w:tcPr>
            <w:tcW w:type="dxa" w:w="864"/>
            <w:vAlign w:val="center"/>
          </w:tcPr>
          <w:p>
            <w:pPr>
              <w:spacing w:after="20"/>
            </w:pPr>
            <w:r>
              <w:rPr>
                <w:sz w:val="15"/>
              </w:rPr>
              <w:t>P0</w:t>
            </w:r>
          </w:p>
        </w:tc>
        <w:tc>
          <w:tcPr>
            <w:tcW w:type="dxa" w:w="2880"/>
            <w:vAlign w:val="center"/>
          </w:tcPr>
          <w:p>
            <w:pPr>
              <w:spacing w:after="20"/>
            </w:pPr>
            <w:r>
              <w:rPr>
                <w:sz w:val="15"/>
              </w:rPr>
              <w:t>Evaluation documents treatment of correlated/missing signals.</w:t>
            </w:r>
          </w:p>
        </w:tc>
      </w:tr>
      <w:tr>
        <w:tc>
          <w:tcPr>
            <w:tcW w:type="dxa" w:w="1224"/>
            <w:vAlign w:val="center"/>
            <w:shd w:fill="F4F7FA"/>
          </w:tcPr>
          <w:p>
            <w:pPr>
              <w:spacing w:after="20"/>
            </w:pPr>
            <w:r>
              <w:rPr>
                <w:sz w:val="15"/>
              </w:rPr>
              <w:t>FR-RISK-06</w:t>
            </w:r>
          </w:p>
        </w:tc>
        <w:tc>
          <w:tcPr>
            <w:tcW w:type="dxa" w:w="5184"/>
            <w:vAlign w:val="center"/>
            <w:shd w:fill="F4F7FA"/>
          </w:tcPr>
          <w:p>
            <w:pPr>
              <w:spacing w:after="20"/>
            </w:pPr>
            <w:r>
              <w:rPr>
                <w:sz w:val="15"/>
              </w:rPr>
              <w:t>Evaluate against labelled examples and document limitations.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Reproducible evaluation report produced.</w:t>
            </w:r>
          </w:p>
        </w:tc>
      </w:tr>
      <w:tr>
        <w:tc>
          <w:tcPr>
            <w:tcW w:type="dxa" w:w="1224"/>
            <w:vAlign w:val="center"/>
          </w:tcPr>
          <w:p>
            <w:pPr>
              <w:spacing w:after="20"/>
            </w:pPr>
            <w:r>
              <w:rPr>
                <w:sz w:val="15"/>
              </w:rPr>
              <w:t>FR-RISK-07</w:t>
            </w:r>
          </w:p>
        </w:tc>
        <w:tc>
          <w:tcPr>
            <w:tcW w:type="dxa" w:w="5184"/>
            <w:vAlign w:val="center"/>
          </w:tcPr>
          <w:p>
            <w:pPr>
              <w:spacing w:after="20"/>
            </w:pPr>
            <w:r>
              <w:rPr>
                <w:sz w:val="15"/>
              </w:rPr>
              <w:t>Record model version and contributing rationale for each score.</w:t>
            </w:r>
          </w:p>
        </w:tc>
        <w:tc>
          <w:tcPr>
            <w:tcW w:type="dxa" w:w="864"/>
            <w:vAlign w:val="center"/>
          </w:tcPr>
          <w:p>
            <w:pPr>
              <w:spacing w:after="20"/>
            </w:pPr>
            <w:r>
              <w:rPr>
                <w:sz w:val="15"/>
              </w:rPr>
              <w:t>P0</w:t>
            </w:r>
          </w:p>
        </w:tc>
        <w:tc>
          <w:tcPr>
            <w:tcW w:type="dxa" w:w="2880"/>
            <w:vAlign w:val="center"/>
          </w:tcPr>
          <w:p>
            <w:pPr>
              <w:spacing w:after="20"/>
            </w:pPr>
            <w:r>
              <w:rPr>
                <w:sz w:val="15"/>
              </w:rPr>
              <w:t>Reviewer can inspect why score was assigned.</w:t>
            </w:r>
          </w:p>
        </w:tc>
      </w:tr>
    </w:tbl>
    <w:p/>
    <w:p>
      <w:r>
        <w:t>The exact formula, weights, thresholds and calibration method remain subject to evaluation. Optimisation goals are ranking quality, calibration, reproducibility and explainability—not complexity. AI judgements must not silently determine scores without defined evidence and rules.</w:t>
      </w:r>
    </w:p>
    <w:p>
      <w:pPr>
        <w:pStyle w:val="Heading2"/>
        <w:keepNext/>
      </w:pPr>
      <w:r>
        <w:t>4.5 Error Explanation and AI Assistant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FR-AI-01</w:t>
            </w:r>
          </w:p>
        </w:tc>
        <w:tc>
          <w:tcPr>
            <w:tcW w:type="dxa" w:w="5184"/>
            <w:vAlign w:val="center"/>
          </w:tcPr>
          <w:p>
            <w:pPr>
              <w:spacing w:after="20"/>
            </w:pPr>
            <w:r>
              <w:rPr>
                <w:sz w:val="15"/>
              </w:rPr>
              <w:t>Offer user-selectable beginner, intermediate and advanced explanation levels.</w:t>
            </w:r>
          </w:p>
        </w:tc>
        <w:tc>
          <w:tcPr>
            <w:tcW w:type="dxa" w:w="864"/>
            <w:vAlign w:val="center"/>
          </w:tcPr>
          <w:p>
            <w:pPr>
              <w:spacing w:after="20"/>
            </w:pPr>
            <w:r>
              <w:rPr>
                <w:sz w:val="15"/>
              </w:rPr>
              <w:t>P0</w:t>
            </w:r>
          </w:p>
        </w:tc>
        <w:tc>
          <w:tcPr>
            <w:tcW w:type="dxa" w:w="2880"/>
            <w:vAlign w:val="center"/>
          </w:tcPr>
          <w:p>
            <w:pPr>
              <w:spacing w:after="20"/>
            </w:pPr>
            <w:r>
              <w:rPr>
                <w:sz w:val="15"/>
              </w:rPr>
              <w:t>Depth/terminology changes while core facts remain consistent.</w:t>
            </w:r>
          </w:p>
        </w:tc>
      </w:tr>
      <w:tr>
        <w:tc>
          <w:tcPr>
            <w:tcW w:type="dxa" w:w="1224"/>
            <w:vAlign w:val="center"/>
            <w:shd w:fill="F4F7FA"/>
          </w:tcPr>
          <w:p>
            <w:pPr>
              <w:spacing w:after="20"/>
            </w:pPr>
            <w:r>
              <w:rPr>
                <w:sz w:val="15"/>
              </w:rPr>
              <w:t>FR-AI-02</w:t>
            </w:r>
          </w:p>
        </w:tc>
        <w:tc>
          <w:tcPr>
            <w:tcW w:type="dxa" w:w="5184"/>
            <w:vAlign w:val="center"/>
            <w:shd w:fill="F4F7FA"/>
          </w:tcPr>
          <w:p>
            <w:pPr>
              <w:spacing w:after="20"/>
            </w:pPr>
            <w:r>
              <w:rPr>
                <w:sz w:val="15"/>
              </w:rPr>
              <w:t>Explain meaning, location, likely cause, importance and potential consequences when supported.</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Explanation links to actual finding/context.</w:t>
            </w:r>
          </w:p>
        </w:tc>
      </w:tr>
      <w:tr>
        <w:tc>
          <w:tcPr>
            <w:tcW w:type="dxa" w:w="1224"/>
            <w:vAlign w:val="center"/>
          </w:tcPr>
          <w:p>
            <w:pPr>
              <w:spacing w:after="20"/>
            </w:pPr>
            <w:r>
              <w:rPr>
                <w:sz w:val="15"/>
              </w:rPr>
              <w:t>FR-AI-03</w:t>
            </w:r>
          </w:p>
        </w:tc>
        <w:tc>
          <w:tcPr>
            <w:tcW w:type="dxa" w:w="5184"/>
            <w:vAlign w:val="center"/>
          </w:tcPr>
          <w:p>
            <w:pPr>
              <w:spacing w:after="20"/>
            </w:pPr>
            <w:r>
              <w:rPr>
                <w:sz w:val="15"/>
              </w:rPr>
              <w:t>Ground explanations in findings, code context and trusted learning material.</w:t>
            </w:r>
          </w:p>
        </w:tc>
        <w:tc>
          <w:tcPr>
            <w:tcW w:type="dxa" w:w="864"/>
            <w:vAlign w:val="center"/>
          </w:tcPr>
          <w:p>
            <w:pPr>
              <w:spacing w:after="20"/>
            </w:pPr>
            <w:r>
              <w:rPr>
                <w:sz w:val="15"/>
              </w:rPr>
              <w:t>P0</w:t>
            </w:r>
          </w:p>
        </w:tc>
        <w:tc>
          <w:tcPr>
            <w:tcW w:type="dxa" w:w="2880"/>
            <w:vAlign w:val="center"/>
          </w:tcPr>
          <w:p>
            <w:pPr>
              <w:spacing w:after="20"/>
            </w:pPr>
            <w:r>
              <w:rPr>
                <w:sz w:val="15"/>
              </w:rPr>
              <w:t>Unsupported claims labelled as uncertain.</w:t>
            </w:r>
          </w:p>
        </w:tc>
      </w:tr>
      <w:tr>
        <w:tc>
          <w:tcPr>
            <w:tcW w:type="dxa" w:w="1224"/>
            <w:vAlign w:val="center"/>
            <w:shd w:fill="F4F7FA"/>
          </w:tcPr>
          <w:p>
            <w:pPr>
              <w:spacing w:after="20"/>
            </w:pPr>
            <w:r>
              <w:rPr>
                <w:sz w:val="15"/>
              </w:rPr>
              <w:t>FR-AI-04</w:t>
            </w:r>
          </w:p>
        </w:tc>
        <w:tc>
          <w:tcPr>
            <w:tcW w:type="dxa" w:w="5184"/>
            <w:vAlign w:val="center"/>
            <w:shd w:fill="F4F7FA"/>
          </w:tcPr>
          <w:p>
            <w:pPr>
              <w:spacing w:after="20"/>
            </w:pPr>
            <w:r>
              <w:rPr>
                <w:sz w:val="15"/>
              </w:rPr>
              <w:t>Answer questions about selected issue and permitted project context.</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No unauthorised project data disclosed.</w:t>
            </w:r>
          </w:p>
        </w:tc>
      </w:tr>
      <w:tr>
        <w:tc>
          <w:tcPr>
            <w:tcW w:type="dxa" w:w="1224"/>
            <w:vAlign w:val="center"/>
          </w:tcPr>
          <w:p>
            <w:pPr>
              <w:spacing w:after="20"/>
            </w:pPr>
            <w:r>
              <w:rPr>
                <w:sz w:val="15"/>
              </w:rPr>
              <w:t>FR-AI-05</w:t>
            </w:r>
          </w:p>
        </w:tc>
        <w:tc>
          <w:tcPr>
            <w:tcW w:type="dxa" w:w="5184"/>
            <w:vAlign w:val="center"/>
          </w:tcPr>
          <w:p>
            <w:pPr>
              <w:spacing w:after="20"/>
            </w:pPr>
            <w:r>
              <w:rPr>
                <w:sz w:val="15"/>
              </w:rPr>
              <w:t>Distinguish observed facts, inferences and unknowns.</w:t>
            </w:r>
          </w:p>
        </w:tc>
        <w:tc>
          <w:tcPr>
            <w:tcW w:type="dxa" w:w="864"/>
            <w:vAlign w:val="center"/>
          </w:tcPr>
          <w:p>
            <w:pPr>
              <w:spacing w:after="20"/>
            </w:pPr>
            <w:r>
              <w:rPr>
                <w:sz w:val="15"/>
              </w:rPr>
              <w:t>P0</w:t>
            </w:r>
          </w:p>
        </w:tc>
        <w:tc>
          <w:tcPr>
            <w:tcW w:type="dxa" w:w="2880"/>
            <w:vAlign w:val="center"/>
          </w:tcPr>
          <w:p>
            <w:pPr>
              <w:spacing w:after="20"/>
            </w:pPr>
            <w:r>
              <w:rPr>
                <w:sz w:val="15"/>
              </w:rPr>
              <w:t>Insufficient context produces qualification or follow-up.</w:t>
            </w:r>
          </w:p>
        </w:tc>
      </w:tr>
      <w:tr>
        <w:tc>
          <w:tcPr>
            <w:tcW w:type="dxa" w:w="1224"/>
            <w:vAlign w:val="center"/>
            <w:shd w:fill="F4F7FA"/>
          </w:tcPr>
          <w:p>
            <w:pPr>
              <w:spacing w:after="20"/>
            </w:pPr>
            <w:r>
              <w:rPr>
                <w:sz w:val="15"/>
              </w:rPr>
              <w:t>FR-AI-06</w:t>
            </w:r>
          </w:p>
        </w:tc>
        <w:tc>
          <w:tcPr>
            <w:tcW w:type="dxa" w:w="5184"/>
            <w:vAlign w:val="center"/>
            <w:shd w:fill="F4F7FA"/>
          </w:tcPr>
          <w:p>
            <w:pPr>
              <w:spacing w:after="20"/>
            </w:pPr>
            <w:r>
              <w:rPr>
                <w:sz w:val="15"/>
              </w:rPr>
              <w:t>Use configurable local-model/provider abstraction.</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Model can be changed without rewriting core workflows.</w:t>
            </w:r>
          </w:p>
        </w:tc>
      </w:tr>
      <w:tr>
        <w:tc>
          <w:tcPr>
            <w:tcW w:type="dxa" w:w="1224"/>
            <w:vAlign w:val="center"/>
          </w:tcPr>
          <w:p>
            <w:pPr>
              <w:spacing w:after="20"/>
            </w:pPr>
            <w:r>
              <w:rPr>
                <w:sz w:val="15"/>
              </w:rPr>
              <w:t>FR-AI-07</w:t>
            </w:r>
          </w:p>
        </w:tc>
        <w:tc>
          <w:tcPr>
            <w:tcW w:type="dxa" w:w="5184"/>
            <w:vAlign w:val="center"/>
          </w:tcPr>
          <w:p>
            <w:pPr>
              <w:spacing w:after="20"/>
            </w:pPr>
            <w:r>
              <w:rPr>
                <w:sz w:val="15"/>
              </w:rPr>
              <w:t>Report AI unavailability without losing completed findings.</w:t>
            </w:r>
          </w:p>
        </w:tc>
        <w:tc>
          <w:tcPr>
            <w:tcW w:type="dxa" w:w="864"/>
            <w:vAlign w:val="center"/>
          </w:tcPr>
          <w:p>
            <w:pPr>
              <w:spacing w:after="20"/>
            </w:pPr>
            <w:r>
              <w:rPr>
                <w:sz w:val="15"/>
              </w:rPr>
              <w:t>P0</w:t>
            </w:r>
          </w:p>
        </w:tc>
        <w:tc>
          <w:tcPr>
            <w:tcW w:type="dxa" w:w="2880"/>
            <w:vAlign w:val="center"/>
          </w:tcPr>
          <w:p>
            <w:pPr>
              <w:spacing w:after="20"/>
            </w:pPr>
            <w:r>
              <w:rPr>
                <w:sz w:val="15"/>
              </w:rPr>
              <w:t>Findings remain available during provider failure.</w:t>
            </w:r>
          </w:p>
        </w:tc>
      </w:tr>
    </w:tbl>
    <w:p/>
    <w:p>
      <w:pPr>
        <w:pStyle w:val="Heading2"/>
        <w:keepNext/>
      </w:pPr>
      <w:r>
        <w:t>4.6 Learning Hub and Progress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FR-LEARN-01</w:t>
            </w:r>
          </w:p>
        </w:tc>
        <w:tc>
          <w:tcPr>
            <w:tcW w:type="dxa" w:w="5184"/>
            <w:vAlign w:val="center"/>
          </w:tcPr>
          <w:p>
            <w:pPr>
              <w:spacing w:after="20"/>
            </w:pPr>
            <w:r>
              <w:rPr>
                <w:sz w:val="15"/>
              </w:rPr>
              <w:t>Provide issue-specific lessons linked to findings.</w:t>
            </w:r>
          </w:p>
        </w:tc>
        <w:tc>
          <w:tcPr>
            <w:tcW w:type="dxa" w:w="864"/>
            <w:vAlign w:val="center"/>
          </w:tcPr>
          <w:p>
            <w:pPr>
              <w:spacing w:after="20"/>
            </w:pPr>
            <w:r>
              <w:rPr>
                <w:sz w:val="15"/>
              </w:rPr>
              <w:t>P0</w:t>
            </w:r>
          </w:p>
        </w:tc>
        <w:tc>
          <w:tcPr>
            <w:tcW w:type="dxa" w:w="2880"/>
            <w:vAlign w:val="center"/>
          </w:tcPr>
          <w:p>
            <w:pPr>
              <w:spacing w:after="20"/>
            </w:pPr>
            <w:r>
              <w:rPr>
                <w:sz w:val="15"/>
              </w:rPr>
              <w:t>Lesson references originating issue where applicable.</w:t>
            </w:r>
          </w:p>
        </w:tc>
      </w:tr>
      <w:tr>
        <w:tc>
          <w:tcPr>
            <w:tcW w:type="dxa" w:w="1224"/>
            <w:vAlign w:val="center"/>
            <w:shd w:fill="F4F7FA"/>
          </w:tcPr>
          <w:p>
            <w:pPr>
              <w:spacing w:after="20"/>
            </w:pPr>
            <w:r>
              <w:rPr>
                <w:sz w:val="15"/>
              </w:rPr>
              <w:t>FR-LEARN-02</w:t>
            </w:r>
          </w:p>
        </w:tc>
        <w:tc>
          <w:tcPr>
            <w:tcW w:type="dxa" w:w="5184"/>
            <w:vAlign w:val="center"/>
            <w:shd w:fill="F4F7FA"/>
          </w:tcPr>
          <w:p>
            <w:pPr>
              <w:spacing w:after="20"/>
            </w:pPr>
            <w:r>
              <w:rPr>
                <w:sz w:val="15"/>
              </w:rPr>
              <w:t>Explain concepts with examples, corrected approaches and related topics where relevant.</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Applicable lesson elements are present.</w:t>
            </w:r>
          </w:p>
        </w:tc>
      </w:tr>
      <w:tr>
        <w:tc>
          <w:tcPr>
            <w:tcW w:type="dxa" w:w="1224"/>
            <w:vAlign w:val="center"/>
          </w:tcPr>
          <w:p>
            <w:pPr>
              <w:spacing w:after="20"/>
            </w:pPr>
            <w:r>
              <w:rPr>
                <w:sz w:val="15"/>
              </w:rPr>
              <w:t>FR-LEARN-03</w:t>
            </w:r>
          </w:p>
        </w:tc>
        <w:tc>
          <w:tcPr>
            <w:tcW w:type="dxa" w:w="5184"/>
            <w:vAlign w:val="center"/>
          </w:tcPr>
          <w:p>
            <w:pPr>
              <w:spacing w:after="20"/>
            </w:pPr>
            <w:r>
              <w:rPr>
                <w:sz w:val="15"/>
              </w:rPr>
              <w:t>Provide a learning hub combining curated content and AI-generated issue-specific lessons.</w:t>
            </w:r>
          </w:p>
        </w:tc>
        <w:tc>
          <w:tcPr>
            <w:tcW w:type="dxa" w:w="864"/>
            <w:vAlign w:val="center"/>
          </w:tcPr>
          <w:p>
            <w:pPr>
              <w:spacing w:after="20"/>
            </w:pPr>
            <w:r>
              <w:rPr>
                <w:sz w:val="15"/>
              </w:rPr>
              <w:t>P0</w:t>
            </w:r>
          </w:p>
        </w:tc>
        <w:tc>
          <w:tcPr>
            <w:tcW w:type="dxa" w:w="2880"/>
            <w:vAlign w:val="center"/>
          </w:tcPr>
          <w:p>
            <w:pPr>
              <w:spacing w:after="20"/>
            </w:pPr>
            <w:r>
              <w:rPr>
                <w:sz w:val="15"/>
              </w:rPr>
              <w:t>Users can browse topics and open lessons.</w:t>
            </w:r>
          </w:p>
        </w:tc>
      </w:tr>
      <w:tr>
        <w:tc>
          <w:tcPr>
            <w:tcW w:type="dxa" w:w="1224"/>
            <w:vAlign w:val="center"/>
            <w:shd w:fill="F4F7FA"/>
          </w:tcPr>
          <w:p>
            <w:pPr>
              <w:spacing w:after="20"/>
            </w:pPr>
            <w:r>
              <w:rPr>
                <w:sz w:val="15"/>
              </w:rPr>
              <w:t>FR-LEARN-04</w:t>
            </w:r>
          </w:p>
        </w:tc>
        <w:tc>
          <w:tcPr>
            <w:tcW w:type="dxa" w:w="5184"/>
            <w:vAlign w:val="center"/>
            <w:shd w:fill="F4F7FA"/>
          </w:tcPr>
          <w:p>
            <w:pPr>
              <w:spacing w:after="20"/>
            </w:pPr>
            <w:r>
              <w:rPr>
                <w:sz w:val="15"/>
              </w:rPr>
              <w:t>Adapt learning/explanation depth to selected experience level.</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Preference is respected and changeable.</w:t>
            </w:r>
          </w:p>
        </w:tc>
      </w:tr>
      <w:tr>
        <w:tc>
          <w:tcPr>
            <w:tcW w:type="dxa" w:w="1224"/>
            <w:vAlign w:val="center"/>
          </w:tcPr>
          <w:p>
            <w:pPr>
              <w:spacing w:after="20"/>
            </w:pPr>
            <w:r>
              <w:rPr>
                <w:sz w:val="15"/>
              </w:rPr>
              <w:t>FR-LEARN-05</w:t>
            </w:r>
          </w:p>
        </w:tc>
        <w:tc>
          <w:tcPr>
            <w:tcW w:type="dxa" w:w="5184"/>
            <w:vAlign w:val="center"/>
          </w:tcPr>
          <w:p>
            <w:pPr>
              <w:spacing w:after="20"/>
            </w:pPr>
            <w:r>
              <w:rPr>
                <w:sz w:val="15"/>
              </w:rPr>
              <w:t>Record learning activity and completed activities where supported.</w:t>
            </w:r>
          </w:p>
        </w:tc>
        <w:tc>
          <w:tcPr>
            <w:tcW w:type="dxa" w:w="864"/>
            <w:vAlign w:val="center"/>
          </w:tcPr>
          <w:p>
            <w:pPr>
              <w:spacing w:after="20"/>
            </w:pPr>
            <w:r>
              <w:rPr>
                <w:sz w:val="15"/>
              </w:rPr>
              <w:t>P1</w:t>
            </w:r>
          </w:p>
        </w:tc>
        <w:tc>
          <w:tcPr>
            <w:tcW w:type="dxa" w:w="2880"/>
            <w:vAlign w:val="center"/>
          </w:tcPr>
          <w:p>
            <w:pPr>
              <w:spacing w:after="20"/>
            </w:pPr>
            <w:r>
              <w:rPr>
                <w:sz w:val="15"/>
              </w:rPr>
              <w:t>Progress view matches recorded events.</w:t>
            </w:r>
          </w:p>
        </w:tc>
      </w:tr>
      <w:tr>
        <w:tc>
          <w:tcPr>
            <w:tcW w:type="dxa" w:w="1224"/>
            <w:vAlign w:val="center"/>
            <w:shd w:fill="F4F7FA"/>
          </w:tcPr>
          <w:p>
            <w:pPr>
              <w:spacing w:after="20"/>
            </w:pPr>
            <w:r>
              <w:rPr>
                <w:sz w:val="15"/>
              </w:rPr>
              <w:t>FR-LEARN-06</w:t>
            </w:r>
          </w:p>
        </w:tc>
        <w:tc>
          <w:tcPr>
            <w:tcW w:type="dxa" w:w="5184"/>
            <w:vAlign w:val="center"/>
            <w:shd w:fill="F4F7FA"/>
          </w:tcPr>
          <w:p>
            <w:pPr>
              <w:spacing w:after="20"/>
            </w:pPr>
            <w:r>
              <w:rPr>
                <w:sz w:val="15"/>
              </w:rPr>
              <w:t>Recommend topics based on viewed lessons and recurring issue categories.</w:t>
            </w:r>
          </w:p>
        </w:tc>
        <w:tc>
          <w:tcPr>
            <w:tcW w:type="dxa" w:w="864"/>
            <w:vAlign w:val="center"/>
            <w:shd w:fill="F4F7FA"/>
          </w:tcPr>
          <w:p>
            <w:pPr>
              <w:spacing w:after="20"/>
            </w:pPr>
            <w:r>
              <w:rPr>
                <w:sz w:val="15"/>
              </w:rPr>
              <w:t>P1</w:t>
            </w:r>
          </w:p>
        </w:tc>
        <w:tc>
          <w:tcPr>
            <w:tcW w:type="dxa" w:w="2880"/>
            <w:vAlign w:val="center"/>
            <w:shd w:fill="F4F7FA"/>
          </w:tcPr>
          <w:p>
            <w:pPr>
              <w:spacing w:after="20"/>
            </w:pPr>
            <w:r>
              <w:rPr>
                <w:sz w:val="15"/>
              </w:rPr>
              <w:t>Recommendations show a reason/relationship.</w:t>
            </w:r>
          </w:p>
        </w:tc>
      </w:tr>
      <w:tr>
        <w:tc>
          <w:tcPr>
            <w:tcW w:type="dxa" w:w="1224"/>
            <w:vAlign w:val="center"/>
          </w:tcPr>
          <w:p>
            <w:pPr>
              <w:spacing w:after="20"/>
            </w:pPr>
            <w:r>
              <w:rPr>
                <w:sz w:val="15"/>
              </w:rPr>
              <w:t>FR-LEARN-07</w:t>
            </w:r>
          </w:p>
        </w:tc>
        <w:tc>
          <w:tcPr>
            <w:tcW w:type="dxa" w:w="5184"/>
            <w:vAlign w:val="center"/>
          </w:tcPr>
          <w:p>
            <w:pPr>
              <w:spacing w:after="20"/>
            </w:pPr>
            <w:r>
              <w:rPr>
                <w:sz w:val="15"/>
              </w:rPr>
              <w:t>Do not treat viewing an explanation as proof of mastery.</w:t>
            </w:r>
          </w:p>
        </w:tc>
        <w:tc>
          <w:tcPr>
            <w:tcW w:type="dxa" w:w="864"/>
            <w:vAlign w:val="center"/>
          </w:tcPr>
          <w:p>
            <w:pPr>
              <w:spacing w:after="20"/>
            </w:pPr>
            <w:r>
              <w:rPr>
                <w:sz w:val="15"/>
              </w:rPr>
              <w:t>P0</w:t>
            </w:r>
          </w:p>
        </w:tc>
        <w:tc>
          <w:tcPr>
            <w:tcW w:type="dxa" w:w="2880"/>
            <w:vAlign w:val="center"/>
          </w:tcPr>
          <w:p>
            <w:pPr>
              <w:spacing w:after="20"/>
            </w:pPr>
            <w:r>
              <w:rPr>
                <w:sz w:val="15"/>
              </w:rPr>
              <w:t>Mastery requires a separate assessment signal if introduced.</w:t>
            </w:r>
          </w:p>
        </w:tc>
      </w:tr>
      <w:tr>
        <w:tc>
          <w:tcPr>
            <w:tcW w:type="dxa" w:w="1224"/>
            <w:vAlign w:val="center"/>
            <w:shd w:fill="F4F7FA"/>
          </w:tcPr>
          <w:p>
            <w:pPr>
              <w:spacing w:after="20"/>
            </w:pPr>
            <w:r>
              <w:rPr>
                <w:sz w:val="15"/>
              </w:rPr>
              <w:t>FR-LEARN-08</w:t>
            </w:r>
          </w:p>
        </w:tc>
        <w:tc>
          <w:tcPr>
            <w:tcW w:type="dxa" w:w="5184"/>
            <w:vAlign w:val="center"/>
            <w:shd w:fill="F4F7FA"/>
          </w:tcPr>
          <w:p>
            <w:pPr>
              <w:spacing w:after="20"/>
            </w:pPr>
            <w:r>
              <w:rPr>
                <w:sz w:val="15"/>
              </w:rPr>
              <w:t>Retain attribution for curated content and distinguish generated guidance where appropriate.</w:t>
            </w:r>
          </w:p>
        </w:tc>
        <w:tc>
          <w:tcPr>
            <w:tcW w:type="dxa" w:w="864"/>
            <w:vAlign w:val="center"/>
            <w:shd w:fill="F4F7FA"/>
          </w:tcPr>
          <w:p>
            <w:pPr>
              <w:spacing w:after="20"/>
            </w:pPr>
            <w:r>
              <w:rPr>
                <w:sz w:val="15"/>
              </w:rPr>
              <w:t>P1</w:t>
            </w:r>
          </w:p>
        </w:tc>
        <w:tc>
          <w:tcPr>
            <w:tcW w:type="dxa" w:w="2880"/>
            <w:vAlign w:val="center"/>
            <w:shd w:fill="F4F7FA"/>
          </w:tcPr>
          <w:p>
            <w:pPr>
              <w:spacing w:after="20"/>
            </w:pPr>
            <w:r>
              <w:rPr>
                <w:sz w:val="15"/>
              </w:rPr>
              <w:t>Source and generated status are identifiable.</w:t>
            </w:r>
          </w:p>
        </w:tc>
      </w:tr>
    </w:tbl>
    <w:p/>
    <w:p>
      <w:pPr>
        <w:pStyle w:val="Heading2"/>
        <w:keepNext/>
      </w:pPr>
      <w:r>
        <w:t>4.7 Fix Suggestions and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FR-FIX-01</w:t>
            </w:r>
          </w:p>
        </w:tc>
        <w:tc>
          <w:tcPr>
            <w:tcW w:type="dxa" w:w="5184"/>
            <w:vAlign w:val="center"/>
          </w:tcPr>
          <w:p>
            <w:pPr>
              <w:spacing w:after="20"/>
            </w:pPr>
            <w:r>
              <w:rPr>
                <w:sz w:val="15"/>
              </w:rPr>
              <w:t>Generate a proposed fix when supported by provider and available context.</w:t>
            </w:r>
          </w:p>
        </w:tc>
        <w:tc>
          <w:tcPr>
            <w:tcW w:type="dxa" w:w="864"/>
            <w:vAlign w:val="center"/>
          </w:tcPr>
          <w:p>
            <w:pPr>
              <w:spacing w:after="20"/>
            </w:pPr>
            <w:r>
              <w:rPr>
                <w:sz w:val="15"/>
              </w:rPr>
              <w:t>P0</w:t>
            </w:r>
          </w:p>
        </w:tc>
        <w:tc>
          <w:tcPr>
            <w:tcW w:type="dxa" w:w="2880"/>
            <w:vAlign w:val="center"/>
          </w:tcPr>
          <w:p>
            <w:pPr>
              <w:spacing w:after="20"/>
            </w:pPr>
            <w:r>
              <w:rPr>
                <w:sz w:val="15"/>
              </w:rPr>
              <w:t>Failure produces clear status, not fabricated code.</w:t>
            </w:r>
          </w:p>
        </w:tc>
      </w:tr>
      <w:tr>
        <w:tc>
          <w:tcPr>
            <w:tcW w:type="dxa" w:w="1224"/>
            <w:vAlign w:val="center"/>
            <w:shd w:fill="F4F7FA"/>
          </w:tcPr>
          <w:p>
            <w:pPr>
              <w:spacing w:after="20"/>
            </w:pPr>
            <w:r>
              <w:rPr>
                <w:sz w:val="15"/>
              </w:rPr>
              <w:t>FR-FIX-02</w:t>
            </w:r>
          </w:p>
        </w:tc>
        <w:tc>
          <w:tcPr>
            <w:tcW w:type="dxa" w:w="5184"/>
            <w:vAlign w:val="center"/>
            <w:shd w:fill="F4F7FA"/>
          </w:tcPr>
          <w:p>
            <w:pPr>
              <w:spacing w:after="20"/>
            </w:pPr>
            <w:r>
              <w:rPr>
                <w:sz w:val="15"/>
              </w:rPr>
              <w:t>Explain why a fix may help and identify side effects/uncertainty.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Rationale accompanies proposal.</w:t>
            </w:r>
          </w:p>
        </w:tc>
      </w:tr>
      <w:tr>
        <w:tc>
          <w:tcPr>
            <w:tcW w:type="dxa" w:w="1224"/>
            <w:vAlign w:val="center"/>
          </w:tcPr>
          <w:p>
            <w:pPr>
              <w:spacing w:after="20"/>
            </w:pPr>
            <w:r>
              <w:rPr>
                <w:sz w:val="15"/>
              </w:rPr>
              <w:t>FR-FIX-03</w:t>
            </w:r>
          </w:p>
        </w:tc>
        <w:tc>
          <w:tcPr>
            <w:tcW w:type="dxa" w:w="5184"/>
            <w:vAlign w:val="center"/>
          </w:tcPr>
          <w:p>
            <w:pPr>
              <w:spacing w:after="20"/>
            </w:pPr>
            <w:r>
              <w:rPr>
                <w:sz w:val="15"/>
              </w:rPr>
              <w:t>Display before-and-after diff before applying changes.</w:t>
            </w:r>
          </w:p>
        </w:tc>
        <w:tc>
          <w:tcPr>
            <w:tcW w:type="dxa" w:w="864"/>
            <w:vAlign w:val="center"/>
          </w:tcPr>
          <w:p>
            <w:pPr>
              <w:spacing w:after="20"/>
            </w:pPr>
            <w:r>
              <w:rPr>
                <w:sz w:val="15"/>
              </w:rPr>
              <w:t>P0</w:t>
            </w:r>
          </w:p>
        </w:tc>
        <w:tc>
          <w:tcPr>
            <w:tcW w:type="dxa" w:w="2880"/>
            <w:vAlign w:val="center"/>
          </w:tcPr>
          <w:p>
            <w:pPr>
              <w:spacing w:after="20"/>
            </w:pPr>
            <w:r>
              <w:rPr>
                <w:sz w:val="15"/>
              </w:rPr>
              <w:t>Changed lines reviewable.</w:t>
            </w:r>
          </w:p>
        </w:tc>
      </w:tr>
      <w:tr>
        <w:tc>
          <w:tcPr>
            <w:tcW w:type="dxa" w:w="1224"/>
            <w:vAlign w:val="center"/>
            <w:shd w:fill="F4F7FA"/>
          </w:tcPr>
          <w:p>
            <w:pPr>
              <w:spacing w:after="20"/>
            </w:pPr>
            <w:r>
              <w:rPr>
                <w:sz w:val="15"/>
              </w:rPr>
              <w:t>FR-FIX-04</w:t>
            </w:r>
          </w:p>
        </w:tc>
        <w:tc>
          <w:tcPr>
            <w:tcW w:type="dxa" w:w="5184"/>
            <w:vAlign w:val="center"/>
            <w:shd w:fill="F4F7FA"/>
          </w:tcPr>
          <w:p>
            <w:pPr>
              <w:spacing w:after="20"/>
            </w:pPr>
            <w:r>
              <w:rPr>
                <w:sz w:val="15"/>
              </w:rPr>
              <w:t>Require explicit approval before applying a proposed change.</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No write without approval.</w:t>
            </w:r>
          </w:p>
        </w:tc>
      </w:tr>
      <w:tr>
        <w:tc>
          <w:tcPr>
            <w:tcW w:type="dxa" w:w="1224"/>
            <w:vAlign w:val="center"/>
          </w:tcPr>
          <w:p>
            <w:pPr>
              <w:spacing w:after="20"/>
            </w:pPr>
            <w:r>
              <w:rPr>
                <w:sz w:val="15"/>
              </w:rPr>
              <w:t>FR-FIX-05</w:t>
            </w:r>
          </w:p>
        </w:tc>
        <w:tc>
          <w:tcPr>
            <w:tcW w:type="dxa" w:w="5184"/>
            <w:vAlign w:val="center"/>
          </w:tcPr>
          <w:p>
            <w:pPr>
              <w:spacing w:after="20"/>
            </w:pPr>
            <w:r>
              <w:rPr>
                <w:sz w:val="15"/>
              </w:rPr>
              <w:t>Preserve original source and use separate working copy/branch.</w:t>
            </w:r>
          </w:p>
        </w:tc>
        <w:tc>
          <w:tcPr>
            <w:tcW w:type="dxa" w:w="864"/>
            <w:vAlign w:val="center"/>
          </w:tcPr>
          <w:p>
            <w:pPr>
              <w:spacing w:after="20"/>
            </w:pPr>
            <w:r>
              <w:rPr>
                <w:sz w:val="15"/>
              </w:rPr>
              <w:t>P0</w:t>
            </w:r>
          </w:p>
        </w:tc>
        <w:tc>
          <w:tcPr>
            <w:tcW w:type="dxa" w:w="2880"/>
            <w:vAlign w:val="center"/>
          </w:tcPr>
          <w:p>
            <w:pPr>
              <w:spacing w:after="20"/>
            </w:pPr>
            <w:r>
              <w:rPr>
                <w:sz w:val="15"/>
              </w:rPr>
              <w:t>Original remains recoverable.</w:t>
            </w:r>
          </w:p>
        </w:tc>
      </w:tr>
      <w:tr>
        <w:tc>
          <w:tcPr>
            <w:tcW w:type="dxa" w:w="1224"/>
            <w:vAlign w:val="center"/>
            <w:shd w:fill="F4F7FA"/>
          </w:tcPr>
          <w:p>
            <w:pPr>
              <w:spacing w:after="20"/>
            </w:pPr>
            <w:r>
              <w:rPr>
                <w:sz w:val="15"/>
              </w:rPr>
              <w:t>FR-FIX-06</w:t>
            </w:r>
          </w:p>
        </w:tc>
        <w:tc>
          <w:tcPr>
            <w:tcW w:type="dxa" w:w="5184"/>
            <w:vAlign w:val="center"/>
            <w:shd w:fill="F4F7FA"/>
          </w:tcPr>
          <w:p>
            <w:pPr>
              <w:spacing w:after="20"/>
            </w:pPr>
            <w:r>
              <w:rPr>
                <w:sz w:val="15"/>
              </w:rPr>
              <w:t>Detect stale source versions and conflicts before applying fixes.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Stale/conflicting changes blocked or re-approved.</w:t>
            </w:r>
          </w:p>
        </w:tc>
      </w:tr>
      <w:tr>
        <w:tc>
          <w:tcPr>
            <w:tcW w:type="dxa" w:w="1224"/>
            <w:vAlign w:val="center"/>
          </w:tcPr>
          <w:p>
            <w:pPr>
              <w:spacing w:after="20"/>
            </w:pPr>
            <w:r>
              <w:rPr>
                <w:sz w:val="15"/>
              </w:rPr>
              <w:t>FR-FIX-07</w:t>
            </w:r>
          </w:p>
        </w:tc>
        <w:tc>
          <w:tcPr>
            <w:tcW w:type="dxa" w:w="5184"/>
            <w:vAlign w:val="center"/>
          </w:tcPr>
          <w:p>
            <w:pPr>
              <w:spacing w:after="20"/>
            </w:pPr>
            <w:r>
              <w:rPr>
                <w:sz w:val="15"/>
              </w:rPr>
              <w:t>Provide downloadable ZIP of approved changes for ZIP projects.</w:t>
            </w:r>
          </w:p>
        </w:tc>
        <w:tc>
          <w:tcPr>
            <w:tcW w:type="dxa" w:w="864"/>
            <w:vAlign w:val="center"/>
          </w:tcPr>
          <w:p>
            <w:pPr>
              <w:spacing w:after="20"/>
            </w:pPr>
            <w:r>
              <w:rPr>
                <w:sz w:val="15"/>
              </w:rPr>
              <w:t>P0</w:t>
            </w:r>
          </w:p>
        </w:tc>
        <w:tc>
          <w:tcPr>
            <w:tcW w:type="dxa" w:w="2880"/>
            <w:vAlign w:val="center"/>
          </w:tcPr>
          <w:p>
            <w:pPr>
              <w:spacing w:after="20"/>
            </w:pPr>
            <w:r>
              <w:rPr>
                <w:sz w:val="15"/>
              </w:rPr>
              <w:t>Archive contains intended changed files.</w:t>
            </w:r>
          </w:p>
        </w:tc>
      </w:tr>
      <w:tr>
        <w:tc>
          <w:tcPr>
            <w:tcW w:type="dxa" w:w="1224"/>
            <w:vAlign w:val="center"/>
            <w:shd w:fill="F4F7FA"/>
          </w:tcPr>
          <w:p>
            <w:pPr>
              <w:spacing w:after="20"/>
            </w:pPr>
            <w:r>
              <w:rPr>
                <w:sz w:val="15"/>
              </w:rPr>
              <w:t>FR-FIX-08</w:t>
            </w:r>
          </w:p>
        </w:tc>
        <w:tc>
          <w:tcPr>
            <w:tcW w:type="dxa" w:w="5184"/>
            <w:vAlign w:val="center"/>
            <w:shd w:fill="F4F7FA"/>
          </w:tcPr>
          <w:p>
            <w:pPr>
              <w:spacing w:after="20"/>
            </w:pPr>
            <w:r>
              <w:rPr>
                <w:sz w:val="15"/>
              </w:rPr>
              <w:t>Never automatically merge into base/protected GitHub branch.</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Merge remains user-controlled.</w:t>
            </w:r>
          </w:p>
        </w:tc>
      </w:tr>
    </w:tbl>
    <w:p/>
    <w:p>
      <w:pPr>
        <w:pStyle w:val="Heading2"/>
        <w:keepNext/>
      </w:pPr>
      <w:r>
        <w:t>4.8 GitHub Workflow and Verification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FR-GH-01</w:t>
            </w:r>
          </w:p>
        </w:tc>
        <w:tc>
          <w:tcPr>
            <w:tcW w:type="dxa" w:w="5184"/>
            <w:vAlign w:val="center"/>
          </w:tcPr>
          <w:p>
            <w:pPr>
              <w:spacing w:after="20"/>
            </w:pPr>
            <w:r>
              <w:rPr>
                <w:sz w:val="15"/>
              </w:rPr>
              <w:t>Create a separate branch for approved GitHub changes when authorised.</w:t>
            </w:r>
          </w:p>
        </w:tc>
        <w:tc>
          <w:tcPr>
            <w:tcW w:type="dxa" w:w="864"/>
            <w:vAlign w:val="center"/>
          </w:tcPr>
          <w:p>
            <w:pPr>
              <w:spacing w:after="20"/>
            </w:pPr>
            <w:r>
              <w:rPr>
                <w:sz w:val="15"/>
              </w:rPr>
              <w:t>P0</w:t>
            </w:r>
          </w:p>
        </w:tc>
        <w:tc>
          <w:tcPr>
            <w:tcW w:type="dxa" w:w="2880"/>
            <w:vAlign w:val="center"/>
          </w:tcPr>
          <w:p>
            <w:pPr>
              <w:spacing w:after="20"/>
            </w:pPr>
            <w:r>
              <w:rPr>
                <w:sz w:val="15"/>
              </w:rPr>
              <w:t>Branch differs from base.</w:t>
            </w:r>
          </w:p>
        </w:tc>
      </w:tr>
      <w:tr>
        <w:tc>
          <w:tcPr>
            <w:tcW w:type="dxa" w:w="1224"/>
            <w:vAlign w:val="center"/>
            <w:shd w:fill="F4F7FA"/>
          </w:tcPr>
          <w:p>
            <w:pPr>
              <w:spacing w:after="20"/>
            </w:pPr>
            <w:r>
              <w:rPr>
                <w:sz w:val="15"/>
              </w:rPr>
              <w:t>FR-GH-02</w:t>
            </w:r>
          </w:p>
        </w:tc>
        <w:tc>
          <w:tcPr>
            <w:tcW w:type="dxa" w:w="5184"/>
            <w:vAlign w:val="center"/>
            <w:shd w:fill="F4F7FA"/>
          </w:tcPr>
          <w:p>
            <w:pPr>
              <w:spacing w:after="20"/>
            </w:pPr>
            <w:r>
              <w:rPr>
                <w:sz w:val="15"/>
              </w:rPr>
              <w:t>Create pull request with summary and issue context when authorised.</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Correct head/base branches used.</w:t>
            </w:r>
          </w:p>
        </w:tc>
      </w:tr>
      <w:tr>
        <w:tc>
          <w:tcPr>
            <w:tcW w:type="dxa" w:w="1224"/>
            <w:vAlign w:val="center"/>
          </w:tcPr>
          <w:p>
            <w:pPr>
              <w:spacing w:after="20"/>
            </w:pPr>
            <w:r>
              <w:rPr>
                <w:sz w:val="15"/>
              </w:rPr>
              <w:t>FR-GH-03</w:t>
            </w:r>
          </w:p>
        </w:tc>
        <w:tc>
          <w:tcPr>
            <w:tcW w:type="dxa" w:w="5184"/>
            <w:vAlign w:val="center"/>
          </w:tcPr>
          <w:p>
            <w:pPr>
              <w:spacing w:after="20"/>
            </w:pPr>
            <w:r>
              <w:rPr>
                <w:sz w:val="15"/>
              </w:rPr>
              <w:t>Request minimum necessary GitHub permissions.</w:t>
            </w:r>
          </w:p>
        </w:tc>
        <w:tc>
          <w:tcPr>
            <w:tcW w:type="dxa" w:w="864"/>
            <w:vAlign w:val="center"/>
          </w:tcPr>
          <w:p>
            <w:pPr>
              <w:spacing w:after="20"/>
            </w:pPr>
            <w:r>
              <w:rPr>
                <w:sz w:val="15"/>
              </w:rPr>
              <w:t>P0</w:t>
            </w:r>
          </w:p>
        </w:tc>
        <w:tc>
          <w:tcPr>
            <w:tcW w:type="dxa" w:w="2880"/>
            <w:vAlign w:val="center"/>
          </w:tcPr>
          <w:p>
            <w:pPr>
              <w:spacing w:after="20"/>
            </w:pPr>
            <w:r>
              <w:rPr>
                <w:sz w:val="15"/>
              </w:rPr>
              <w:t>Permission scope documented and checked.</w:t>
            </w:r>
          </w:p>
        </w:tc>
      </w:tr>
      <w:tr>
        <w:tc>
          <w:tcPr>
            <w:tcW w:type="dxa" w:w="1224"/>
            <w:vAlign w:val="center"/>
            <w:shd w:fill="F4F7FA"/>
          </w:tcPr>
          <w:p>
            <w:pPr>
              <w:spacing w:after="20"/>
            </w:pPr>
            <w:r>
              <w:rPr>
                <w:sz w:val="15"/>
              </w:rPr>
              <w:t>FR-GH-04</w:t>
            </w:r>
          </w:p>
        </w:tc>
        <w:tc>
          <w:tcPr>
            <w:tcW w:type="dxa" w:w="5184"/>
            <w:vAlign w:val="center"/>
            <w:shd w:fill="F4F7FA"/>
          </w:tcPr>
          <w:p>
            <w:pPr>
              <w:spacing w:after="20"/>
            </w:pPr>
            <w:r>
              <w:rPr>
                <w:sz w:val="15"/>
              </w:rPr>
              <w:t>Leave pull-request review and merge to user.</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No automatic merge.</w:t>
            </w:r>
          </w:p>
        </w:tc>
      </w:tr>
      <w:tr>
        <w:tc>
          <w:tcPr>
            <w:tcW w:type="dxa" w:w="1224"/>
            <w:vAlign w:val="center"/>
          </w:tcPr>
          <w:p>
            <w:pPr>
              <w:spacing w:after="20"/>
            </w:pPr>
            <w:r>
              <w:rPr>
                <w:sz w:val="15"/>
              </w:rPr>
              <w:t>FR-VER-01</w:t>
            </w:r>
          </w:p>
        </w:tc>
        <w:tc>
          <w:tcPr>
            <w:tcW w:type="dxa" w:w="5184"/>
            <w:vAlign w:val="center"/>
          </w:tcPr>
          <w:p>
            <w:pPr>
              <w:spacing w:after="20"/>
            </w:pPr>
            <w:r>
              <w:rPr>
                <w:sz w:val="15"/>
              </w:rPr>
              <w:t>Support re-analysis of changed code.</w:t>
            </w:r>
          </w:p>
        </w:tc>
        <w:tc>
          <w:tcPr>
            <w:tcW w:type="dxa" w:w="864"/>
            <w:vAlign w:val="center"/>
          </w:tcPr>
          <w:p>
            <w:pPr>
              <w:spacing w:after="20"/>
            </w:pPr>
            <w:r>
              <w:rPr>
                <w:sz w:val="15"/>
              </w:rPr>
              <w:t>P0</w:t>
            </w:r>
          </w:p>
        </w:tc>
        <w:tc>
          <w:tcPr>
            <w:tcW w:type="dxa" w:w="2880"/>
            <w:vAlign w:val="center"/>
          </w:tcPr>
          <w:p>
            <w:pPr>
              <w:spacing w:after="20"/>
            </w:pPr>
            <w:r>
              <w:rPr>
                <w:sz w:val="15"/>
              </w:rPr>
              <w:t>Result linked to changed revision where available.</w:t>
            </w:r>
          </w:p>
        </w:tc>
      </w:tr>
      <w:tr>
        <w:tc>
          <w:tcPr>
            <w:tcW w:type="dxa" w:w="1224"/>
            <w:vAlign w:val="center"/>
            <w:shd w:fill="F4F7FA"/>
          </w:tcPr>
          <w:p>
            <w:pPr>
              <w:spacing w:after="20"/>
            </w:pPr>
            <w:r>
              <w:rPr>
                <w:sz w:val="15"/>
              </w:rPr>
              <w:t>FR-VER-02</w:t>
            </w:r>
          </w:p>
        </w:tc>
        <w:tc>
          <w:tcPr>
            <w:tcW w:type="dxa" w:w="5184"/>
            <w:vAlign w:val="center"/>
            <w:shd w:fill="F4F7FA"/>
          </w:tcPr>
          <w:p>
            <w:pPr>
              <w:spacing w:after="20"/>
            </w:pPr>
            <w:r>
              <w:rPr>
                <w:sz w:val="15"/>
              </w:rPr>
              <w:t>Report whether re-analysis ran and which findings remain.</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Not-run/failed/completed states distinguishable.</w:t>
            </w:r>
          </w:p>
        </w:tc>
      </w:tr>
      <w:tr>
        <w:tc>
          <w:tcPr>
            <w:tcW w:type="dxa" w:w="1224"/>
            <w:vAlign w:val="center"/>
          </w:tcPr>
          <w:p>
            <w:pPr>
              <w:spacing w:after="20"/>
            </w:pPr>
            <w:r>
              <w:rPr>
                <w:sz w:val="15"/>
              </w:rPr>
              <w:t>FR-VER-03</w:t>
            </w:r>
          </w:p>
        </w:tc>
        <w:tc>
          <w:tcPr>
            <w:tcW w:type="dxa" w:w="5184"/>
            <w:vAlign w:val="center"/>
          </w:tcPr>
          <w:p>
            <w:pPr>
              <w:spacing w:after="20"/>
            </w:pPr>
            <w:r>
              <w:rPr>
                <w:sz w:val="15"/>
              </w:rPr>
              <w:t>Never claim tests/builds passed unless they actually ran and passed.</w:t>
            </w:r>
          </w:p>
        </w:tc>
        <w:tc>
          <w:tcPr>
            <w:tcW w:type="dxa" w:w="864"/>
            <w:vAlign w:val="center"/>
          </w:tcPr>
          <w:p>
            <w:pPr>
              <w:spacing w:after="20"/>
            </w:pPr>
            <w:r>
              <w:rPr>
                <w:sz w:val="15"/>
              </w:rPr>
              <w:t>P0</w:t>
            </w:r>
          </w:p>
        </w:tc>
        <w:tc>
          <w:tcPr>
            <w:tcW w:type="dxa" w:w="2880"/>
            <w:vAlign w:val="center"/>
          </w:tcPr>
          <w:p>
            <w:pPr>
              <w:spacing w:after="20"/>
            </w:pPr>
            <w:r>
              <w:rPr>
                <w:sz w:val="15"/>
              </w:rPr>
              <w:t>Each check has an actual recorded execution status.</w:t>
            </w:r>
          </w:p>
        </w:tc>
      </w:tr>
    </w:tbl>
    <w:p/>
    <w:p>
      <w:pPr>
        <w:pStyle w:val="Heading2"/>
        <w:keepNext/>
      </w:pPr>
      <w:r>
        <w:t>4.9 Conversations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FR-CONV-01</w:t>
            </w:r>
          </w:p>
        </w:tc>
        <w:tc>
          <w:tcPr>
            <w:tcW w:type="dxa" w:w="5184"/>
            <w:vAlign w:val="center"/>
          </w:tcPr>
          <w:p>
            <w:pPr>
              <w:spacing w:after="20"/>
            </w:pPr>
            <w:r>
              <w:rPr>
                <w:sz w:val="15"/>
              </w:rPr>
              <w:t>Allow at most two active conversations per account.</w:t>
            </w:r>
          </w:p>
        </w:tc>
        <w:tc>
          <w:tcPr>
            <w:tcW w:type="dxa" w:w="864"/>
            <w:vAlign w:val="center"/>
          </w:tcPr>
          <w:p>
            <w:pPr>
              <w:spacing w:after="20"/>
            </w:pPr>
            <w:r>
              <w:rPr>
                <w:sz w:val="15"/>
              </w:rPr>
              <w:t>P0</w:t>
            </w:r>
          </w:p>
        </w:tc>
        <w:tc>
          <w:tcPr>
            <w:tcW w:type="dxa" w:w="2880"/>
            <w:vAlign w:val="center"/>
          </w:tcPr>
          <w:p>
            <w:pPr>
              <w:spacing w:after="20"/>
            </w:pPr>
            <w:r>
              <w:rPr>
                <w:sz w:val="15"/>
              </w:rPr>
              <w:t>Third active conversation prevented or requires an existing one to expire/close.</w:t>
            </w:r>
          </w:p>
        </w:tc>
      </w:tr>
      <w:tr>
        <w:tc>
          <w:tcPr>
            <w:tcW w:type="dxa" w:w="1224"/>
            <w:vAlign w:val="center"/>
            <w:shd w:fill="F4F7FA"/>
          </w:tcPr>
          <w:p>
            <w:pPr>
              <w:spacing w:after="20"/>
            </w:pPr>
            <w:r>
              <w:rPr>
                <w:sz w:val="15"/>
              </w:rPr>
              <w:t>FR-CONV-02</w:t>
            </w:r>
          </w:p>
        </w:tc>
        <w:tc>
          <w:tcPr>
            <w:tcW w:type="dxa" w:w="5184"/>
            <w:vAlign w:val="center"/>
            <w:shd w:fill="F4F7FA"/>
          </w:tcPr>
          <w:p>
            <w:pPr>
              <w:spacing w:after="20"/>
            </w:pPr>
            <w:r>
              <w:rPr>
                <w:sz w:val="15"/>
              </w:rPr>
              <w:t>Expire conversation after four hours without prompt/update.</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Expiry uses server-side activity timestamp.</w:t>
            </w:r>
          </w:p>
        </w:tc>
      </w:tr>
      <w:tr>
        <w:tc>
          <w:tcPr>
            <w:tcW w:type="dxa" w:w="1224"/>
            <w:vAlign w:val="center"/>
          </w:tcPr>
          <w:p>
            <w:pPr>
              <w:spacing w:after="20"/>
            </w:pPr>
            <w:r>
              <w:rPr>
                <w:sz w:val="15"/>
              </w:rPr>
              <w:t>FR-CONV-03</w:t>
            </w:r>
          </w:p>
        </w:tc>
        <w:tc>
          <w:tcPr>
            <w:tcW w:type="dxa" w:w="5184"/>
            <w:vAlign w:val="center"/>
          </w:tcPr>
          <w:p>
            <w:pPr>
              <w:spacing w:after="20"/>
            </w:pPr>
            <w:r>
              <w:rPr>
                <w:sz w:val="15"/>
              </w:rPr>
              <w:t>Make expired conversations read-only and exclude them from active cap.</w:t>
            </w:r>
          </w:p>
        </w:tc>
        <w:tc>
          <w:tcPr>
            <w:tcW w:type="dxa" w:w="864"/>
            <w:vAlign w:val="center"/>
          </w:tcPr>
          <w:p>
            <w:pPr>
              <w:spacing w:after="20"/>
            </w:pPr>
            <w:r>
              <w:rPr>
                <w:sz w:val="15"/>
              </w:rPr>
              <w:t>P0</w:t>
            </w:r>
          </w:p>
        </w:tc>
        <w:tc>
          <w:tcPr>
            <w:tcW w:type="dxa" w:w="2880"/>
            <w:vAlign w:val="center"/>
          </w:tcPr>
          <w:p>
            <w:pPr>
              <w:spacing w:after="20"/>
            </w:pPr>
            <w:r>
              <w:rPr>
                <w:sz w:val="15"/>
              </w:rPr>
              <w:t>History visible but cannot accept new messages.</w:t>
            </w:r>
          </w:p>
        </w:tc>
      </w:tr>
      <w:tr>
        <w:tc>
          <w:tcPr>
            <w:tcW w:type="dxa" w:w="1224"/>
            <w:vAlign w:val="center"/>
            <w:shd w:fill="F4F7FA"/>
          </w:tcPr>
          <w:p>
            <w:pPr>
              <w:spacing w:after="20"/>
            </w:pPr>
            <w:r>
              <w:rPr>
                <w:sz w:val="15"/>
              </w:rPr>
              <w:t>FR-CONV-04</w:t>
            </w:r>
          </w:p>
        </w:tc>
        <w:tc>
          <w:tcPr>
            <w:tcW w:type="dxa" w:w="5184"/>
            <w:vAlign w:val="center"/>
            <w:shd w:fill="F4F7FA"/>
          </w:tcPr>
          <w:p>
            <w:pPr>
              <w:spacing w:after="20"/>
            </w:pPr>
            <w:r>
              <w:rPr>
                <w:sz w:val="15"/>
              </w:rPr>
              <w:t>Retain expired history for 90 days, subject to deletion policy.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Retention job removes eligible history.</w:t>
            </w:r>
          </w:p>
        </w:tc>
      </w:tr>
      <w:tr>
        <w:tc>
          <w:tcPr>
            <w:tcW w:type="dxa" w:w="1224"/>
            <w:vAlign w:val="center"/>
          </w:tcPr>
          <w:p>
            <w:pPr>
              <w:spacing w:after="20"/>
            </w:pPr>
            <w:r>
              <w:rPr>
                <w:sz w:val="15"/>
              </w:rPr>
              <w:t>FR-CONV-05</w:t>
            </w:r>
          </w:p>
        </w:tc>
        <w:tc>
          <w:tcPr>
            <w:tcW w:type="dxa" w:w="5184"/>
            <w:vAlign w:val="center"/>
          </w:tcPr>
          <w:p>
            <w:pPr>
              <w:spacing w:after="20"/>
            </w:pPr>
            <w:r>
              <w:rPr>
                <w:sz w:val="15"/>
              </w:rPr>
              <w:t>Warn before expiry when practical.</w:t>
            </w:r>
          </w:p>
        </w:tc>
        <w:tc>
          <w:tcPr>
            <w:tcW w:type="dxa" w:w="864"/>
            <w:vAlign w:val="center"/>
          </w:tcPr>
          <w:p>
            <w:pPr>
              <w:spacing w:after="20"/>
            </w:pPr>
            <w:r>
              <w:rPr>
                <w:sz w:val="15"/>
              </w:rPr>
              <w:t>P1</w:t>
            </w:r>
          </w:p>
        </w:tc>
        <w:tc>
          <w:tcPr>
            <w:tcW w:type="dxa" w:w="2880"/>
            <w:vAlign w:val="center"/>
          </w:tcPr>
          <w:p>
            <w:pPr>
              <w:spacing w:after="20"/>
            </w:pPr>
            <w:r>
              <w:rPr>
                <w:sz w:val="15"/>
              </w:rPr>
              <w:t>Warning shown where timing permits.</w:t>
            </w:r>
          </w:p>
        </w:tc>
      </w:tr>
      <w:tr>
        <w:tc>
          <w:tcPr>
            <w:tcW w:type="dxa" w:w="1224"/>
            <w:vAlign w:val="center"/>
            <w:shd w:fill="F4F7FA"/>
          </w:tcPr>
          <w:p>
            <w:pPr>
              <w:spacing w:after="20"/>
            </w:pPr>
            <w:r>
              <w:rPr>
                <w:sz w:val="15"/>
              </w:rPr>
              <w:t>FR-CONV-06</w:t>
            </w:r>
          </w:p>
        </w:tc>
        <w:tc>
          <w:tcPr>
            <w:tcW w:type="dxa" w:w="5184"/>
            <w:vAlign w:val="center"/>
            <w:shd w:fill="F4F7FA"/>
          </w:tcPr>
          <w:p>
            <w:pPr>
              <w:spacing w:after="20"/>
            </w:pPr>
            <w:r>
              <w:rPr>
                <w:sz w:val="15"/>
              </w:rPr>
              <w:t>Enforce conversation ownership and project permissions.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Unauthorised access denied.</w:t>
            </w:r>
          </w:p>
        </w:tc>
      </w:tr>
    </w:tbl>
    <w:p/>
    <w:p>
      <w:pPr>
        <w:pStyle w:val="Heading2"/>
        <w:keepNext/>
      </w:pPr>
      <w:r>
        <w:t>4.10 Administration, Privacy and Audit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243B53"/>
          </w:tcPr>
          <w:p>
            <w:r>
              <w:rPr>
                <w:b/>
                <w:color w:val="FFFFFF"/>
                <w:sz w:val="15"/>
              </w:rPr>
              <w:t>ID</w:t>
            </w:r>
          </w:p>
        </w:tc>
        <w:tc>
          <w:tcPr>
            <w:tcW w:type="dxa" w:w="5184"/>
            <w:shd w:fill="243B53"/>
          </w:tcPr>
          <w:p>
            <w:r>
              <w:rPr>
                <w:b/>
                <w:color w:val="FFFFFF"/>
                <w:sz w:val="15"/>
              </w:rPr>
              <w:t>Requirement</w:t>
            </w:r>
          </w:p>
        </w:tc>
        <w:tc>
          <w:tcPr>
            <w:tcW w:type="dxa" w:w="864"/>
            <w:shd w:fill="243B53"/>
          </w:tcPr>
          <w:p>
            <w:r>
              <w:rPr>
                <w:b/>
                <w:color w:val="FFFFFF"/>
                <w:sz w:val="15"/>
              </w:rPr>
              <w:t>Priority</w:t>
            </w:r>
          </w:p>
        </w:tc>
        <w:tc>
          <w:tcPr>
            <w:tcW w:type="dxa" w:w="2880"/>
            <w:shd w:fill="243B53"/>
          </w:tcPr>
          <w:p>
            <w:r>
              <w:rPr>
                <w:b/>
                <w:color w:val="FFFFFF"/>
                <w:sz w:val="15"/>
              </w:rPr>
              <w:t>Acceptance / verification</w:t>
            </w:r>
          </w:p>
        </w:tc>
      </w:tr>
      <w:tr>
        <w:tc>
          <w:tcPr>
            <w:tcW w:type="dxa" w:w="1224"/>
            <w:vAlign w:val="center"/>
          </w:tcPr>
          <w:p>
            <w:pPr>
              <w:spacing w:after="20"/>
            </w:pPr>
            <w:r>
              <w:rPr>
                <w:sz w:val="15"/>
              </w:rPr>
              <w:t>FR-ADM-01</w:t>
            </w:r>
          </w:p>
        </w:tc>
        <w:tc>
          <w:tcPr>
            <w:tcW w:type="dxa" w:w="5184"/>
            <w:vAlign w:val="center"/>
          </w:tcPr>
          <w:p>
            <w:pPr>
              <w:spacing w:after="20"/>
            </w:pPr>
            <w:r>
              <w:rPr>
                <w:sz w:val="15"/>
              </w:rPr>
              <w:t>Allow authorised administrators to configure models and analysis engines.</w:t>
            </w:r>
          </w:p>
        </w:tc>
        <w:tc>
          <w:tcPr>
            <w:tcW w:type="dxa" w:w="864"/>
            <w:vAlign w:val="center"/>
          </w:tcPr>
          <w:p>
            <w:pPr>
              <w:spacing w:after="20"/>
            </w:pPr>
            <w:r>
              <w:rPr>
                <w:sz w:val="15"/>
              </w:rPr>
              <w:t>P0</w:t>
            </w:r>
          </w:p>
        </w:tc>
        <w:tc>
          <w:tcPr>
            <w:tcW w:type="dxa" w:w="2880"/>
            <w:vAlign w:val="center"/>
          </w:tcPr>
          <w:p>
            <w:pPr>
              <w:spacing w:after="20"/>
            </w:pPr>
            <w:r>
              <w:rPr>
                <w:sz w:val="15"/>
              </w:rPr>
              <w:t>Only authorised roles can change settings.</w:t>
            </w:r>
          </w:p>
        </w:tc>
      </w:tr>
      <w:tr>
        <w:tc>
          <w:tcPr>
            <w:tcW w:type="dxa" w:w="1224"/>
            <w:vAlign w:val="center"/>
            <w:shd w:fill="F4F7FA"/>
          </w:tcPr>
          <w:p>
            <w:pPr>
              <w:spacing w:after="20"/>
            </w:pPr>
            <w:r>
              <w:rPr>
                <w:sz w:val="15"/>
              </w:rPr>
              <w:t>FR-ADM-02</w:t>
            </w:r>
          </w:p>
        </w:tc>
        <w:tc>
          <w:tcPr>
            <w:tcW w:type="dxa" w:w="5184"/>
            <w:vAlign w:val="center"/>
            <w:shd w:fill="F4F7FA"/>
          </w:tcPr>
          <w:p>
            <w:pPr>
              <w:spacing w:after="20"/>
            </w:pPr>
            <w:r>
              <w:rPr>
                <w:sz w:val="15"/>
              </w:rPr>
              <w:t>Enforce privacy settings before external code transfer.</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Unauthorised transfer is blocked.</w:t>
            </w:r>
          </w:p>
        </w:tc>
      </w:tr>
      <w:tr>
        <w:tc>
          <w:tcPr>
            <w:tcW w:type="dxa" w:w="1224"/>
            <w:vAlign w:val="center"/>
          </w:tcPr>
          <w:p>
            <w:pPr>
              <w:spacing w:after="20"/>
            </w:pPr>
            <w:r>
              <w:rPr>
                <w:sz w:val="15"/>
              </w:rPr>
              <w:t>FR-ADM-03</w:t>
            </w:r>
          </w:p>
        </w:tc>
        <w:tc>
          <w:tcPr>
            <w:tcW w:type="dxa" w:w="5184"/>
            <w:vAlign w:val="center"/>
          </w:tcPr>
          <w:p>
            <w:pPr>
              <w:spacing w:after="20"/>
            </w:pPr>
            <w:r>
              <w:rPr>
                <w:sz w:val="15"/>
              </w:rPr>
              <w:t>Expose provider/cost information and configured spending controls where supported.</w:t>
            </w:r>
          </w:p>
        </w:tc>
        <w:tc>
          <w:tcPr>
            <w:tcW w:type="dxa" w:w="864"/>
            <w:vAlign w:val="center"/>
          </w:tcPr>
          <w:p>
            <w:pPr>
              <w:spacing w:after="20"/>
            </w:pPr>
            <w:r>
              <w:rPr>
                <w:sz w:val="15"/>
              </w:rPr>
              <w:t>P0</w:t>
            </w:r>
          </w:p>
        </w:tc>
        <w:tc>
          <w:tcPr>
            <w:tcW w:type="dxa" w:w="2880"/>
            <w:vAlign w:val="center"/>
          </w:tcPr>
          <w:p>
            <w:pPr>
              <w:spacing w:after="20"/>
            </w:pPr>
            <w:r>
              <w:rPr>
                <w:sz w:val="15"/>
              </w:rPr>
              <w:t>Usage and configured limits inspectable.</w:t>
            </w:r>
          </w:p>
        </w:tc>
      </w:tr>
      <w:tr>
        <w:tc>
          <w:tcPr>
            <w:tcW w:type="dxa" w:w="1224"/>
            <w:vAlign w:val="center"/>
            <w:shd w:fill="F4F7FA"/>
          </w:tcPr>
          <w:p>
            <w:pPr>
              <w:spacing w:after="20"/>
            </w:pPr>
            <w:r>
              <w:rPr>
                <w:sz w:val="15"/>
              </w:rPr>
              <w:t>FR-ADM-04</w:t>
            </w:r>
          </w:p>
        </w:tc>
        <w:tc>
          <w:tcPr>
            <w:tcW w:type="dxa" w:w="5184"/>
            <w:vAlign w:val="center"/>
            <w:shd w:fill="F4F7FA"/>
          </w:tcPr>
          <w:p>
            <w:pPr>
              <w:spacing w:after="20"/>
            </w:pPr>
            <w:r>
              <w:rPr>
                <w:sz w:val="15"/>
              </w:rPr>
              <w:t>Keep security-sensitive audit records for 30 days.</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Retention job removes eligible records.</w:t>
            </w:r>
          </w:p>
        </w:tc>
      </w:tr>
      <w:tr>
        <w:tc>
          <w:tcPr>
            <w:tcW w:type="dxa" w:w="1224"/>
            <w:vAlign w:val="center"/>
          </w:tcPr>
          <w:p>
            <w:pPr>
              <w:spacing w:after="20"/>
            </w:pPr>
            <w:r>
              <w:rPr>
                <w:sz w:val="15"/>
              </w:rPr>
              <w:t>FR-ADM-05</w:t>
            </w:r>
          </w:p>
        </w:tc>
        <w:tc>
          <w:tcPr>
            <w:tcW w:type="dxa" w:w="5184"/>
            <w:vAlign w:val="center"/>
          </w:tcPr>
          <w:p>
            <w:pPr>
              <w:spacing w:after="20"/>
            </w:pPr>
            <w:r>
              <w:rPr>
                <w:sz w:val="15"/>
              </w:rPr>
              <w:t>Log relevant approvals, external transfers, role changes and configuration changes without unnecessary source/secrets.</w:t>
            </w:r>
          </w:p>
        </w:tc>
        <w:tc>
          <w:tcPr>
            <w:tcW w:type="dxa" w:w="864"/>
            <w:vAlign w:val="center"/>
          </w:tcPr>
          <w:p>
            <w:pPr>
              <w:spacing w:after="20"/>
            </w:pPr>
            <w:r>
              <w:rPr>
                <w:sz w:val="15"/>
              </w:rPr>
              <w:t>P0</w:t>
            </w:r>
          </w:p>
        </w:tc>
        <w:tc>
          <w:tcPr>
            <w:tcW w:type="dxa" w:w="2880"/>
            <w:vAlign w:val="center"/>
          </w:tcPr>
          <w:p>
            <w:pPr>
              <w:spacing w:after="20"/>
            </w:pPr>
            <w:r>
              <w:rPr>
                <w:sz w:val="15"/>
              </w:rPr>
              <w:t>Event records actor, time, action and outcome.</w:t>
            </w:r>
          </w:p>
        </w:tc>
      </w:tr>
      <w:tr>
        <w:tc>
          <w:tcPr>
            <w:tcW w:type="dxa" w:w="1224"/>
            <w:vAlign w:val="center"/>
            <w:shd w:fill="F4F7FA"/>
          </w:tcPr>
          <w:p>
            <w:pPr>
              <w:spacing w:after="20"/>
            </w:pPr>
            <w:r>
              <w:rPr>
                <w:sz w:val="15"/>
              </w:rPr>
              <w:t>FR-ADM-06</w:t>
            </w:r>
          </w:p>
        </w:tc>
        <w:tc>
          <w:tcPr>
            <w:tcW w:type="dxa" w:w="5184"/>
            <w:vAlign w:val="center"/>
            <w:shd w:fill="F4F7FA"/>
          </w:tcPr>
          <w:p>
            <w:pPr>
              <w:spacing w:after="20"/>
            </w:pPr>
            <w:r>
              <w:rPr>
                <w:sz w:val="15"/>
              </w:rPr>
              <w:t>Support project/data deletion under defined lifecycle policy.</w:t>
            </w:r>
          </w:p>
        </w:tc>
        <w:tc>
          <w:tcPr>
            <w:tcW w:type="dxa" w:w="864"/>
            <w:vAlign w:val="center"/>
            <w:shd w:fill="F4F7FA"/>
          </w:tcPr>
          <w:p>
            <w:pPr>
              <w:spacing w:after="20"/>
            </w:pPr>
            <w:r>
              <w:rPr>
                <w:sz w:val="15"/>
              </w:rPr>
              <w:t>P0</w:t>
            </w:r>
          </w:p>
        </w:tc>
        <w:tc>
          <w:tcPr>
            <w:tcW w:type="dxa" w:w="2880"/>
            <w:vAlign w:val="center"/>
            <w:shd w:fill="F4F7FA"/>
          </w:tcPr>
          <w:p>
            <w:pPr>
              <w:spacing w:after="20"/>
            </w:pPr>
            <w:r>
              <w:rPr>
                <w:sz w:val="15"/>
              </w:rPr>
              <w:t>Deletion and exceptions tested/documented.</w:t>
            </w:r>
          </w:p>
        </w:tc>
      </w:tr>
    </w:tbl>
    <w:p/>
    <w:p>
      <w:pPr>
        <w:pStyle w:val="Heading1"/>
        <w:keepNext/>
      </w:pPr>
      <w:r>
        <w:t>5. External Interface Requirements</w:t>
      </w:r>
    </w:p>
    <w:p>
      <w:pPr>
        <w:pStyle w:val="Heading2"/>
        <w:keepNext/>
      </w:pPr>
      <w:r>
        <w:t>5.1 User Interface</w:t>
      </w:r>
    </w:p>
    <w:p>
      <w:pPr>
        <w:pStyle w:val="ListBullet"/>
        <w:spacing w:after="40"/>
      </w:pPr>
      <w:r>
        <w:t>Provide dashboard, projects, analysis status, issue list/details, AI assistant, learning hub, diff review, verification and settings.</w:t>
      </w:r>
    </w:p>
    <w:p>
      <w:pPr>
        <w:pStyle w:val="ListBullet"/>
        <w:spacing w:after="40"/>
      </w:pPr>
      <w:r>
        <w:t>Show loading, empty, error, permission-denied and partial-result states.</w:t>
      </w:r>
    </w:p>
    <w:p>
      <w:pPr>
        <w:pStyle w:val="ListBullet"/>
        <w:spacing w:after="40"/>
      </w:pPr>
      <w:r>
        <w:t>Keep original engine severity distinct from Explicite AI risk score.</w:t>
      </w:r>
    </w:p>
    <w:p>
      <w:pPr>
        <w:pStyle w:val="ListBullet"/>
        <w:spacing w:after="40"/>
      </w:pPr>
      <w:r>
        <w:t>Make explanation level visible and selectable.</w:t>
      </w:r>
    </w:p>
    <w:p>
      <w:pPr>
        <w:pStyle w:val="ListBullet"/>
        <w:spacing w:after="40"/>
      </w:pPr>
      <w:r>
        <w:t>Show progress for long operations; support cancellation/retry where feasible.</w:t>
      </w:r>
    </w:p>
    <w:p>
      <w:pPr>
        <w:pStyle w:val="ListBullet"/>
        <w:spacing w:after="40"/>
      </w:pPr>
      <w:r>
        <w:t>Explain external data transfer and cost/consent choices before an unauthorised transfer.</w:t>
      </w:r>
    </w:p>
    <w:p>
      <w:pPr>
        <w:pStyle w:val="ListBullet"/>
      </w:pPr>
      <w:r>
        <w:t>Provide a Policy Updates page showing concise current operating principles and dated summaries of material policy changes without disclosing confidential internal details.</w:t>
      </w:r>
    </w:p>
    <w:p>
      <w:pPr>
        <w:pStyle w:val="Heading2"/>
        <w:keepNext/>
      </w:pPr>
      <w:r>
        <w:t>5.2 Backend API</w:t>
      </w:r>
    </w:p>
    <w:p>
      <w:r>
        <w:t>Provide documented, versioned API contracts for authentication, projects, source import, analysis jobs, findings, scoring, conversations, lessons, fix proposals, verification, settings and audit operations. Exact routes, schemas and error codes are implementation deliverables.</w:t>
      </w:r>
    </w:p>
    <w:p>
      <w:pPr>
        <w:pStyle w:val="Heading2"/>
        <w:keepNext/>
      </w:pPr>
      <w:r>
        <w:t>5.3 Analysis Interface</w:t>
      </w:r>
    </w:p>
    <w:p>
      <w:pPr>
        <w:pStyle w:val="ListBullet"/>
        <w:spacing w:after="40"/>
      </w:pPr>
      <w:r>
        <w:t>Adapters translate provider-specific outputs into a common finding schema.</w:t>
      </w:r>
    </w:p>
    <w:p>
      <w:pPr>
        <w:pStyle w:val="ListBullet"/>
        <w:spacing w:after="40"/>
      </w:pPr>
      <w:r>
        <w:t>Preserve engine/rule identifiers, source severity, location and evidence where available.</w:t>
      </w:r>
    </w:p>
    <w:p>
      <w:pPr>
        <w:pStyle w:val="ListBullet"/>
        <w:spacing w:after="40"/>
      </w:pPr>
      <w:r>
        <w:t>Represent partial failures and unsupported files explicitly.</w:t>
      </w:r>
    </w:p>
    <w:p>
      <w:pPr>
        <w:pStyle w:val="ListBullet"/>
        <w:spacing w:after="40"/>
      </w:pPr>
      <w:r>
        <w:t>Allow provider replacement without rewriting core UI, scoring and learning workflows.</w:t>
      </w:r>
    </w:p>
    <w:p>
      <w:pPr>
        <w:pStyle w:val="Heading2"/>
        <w:keepNext/>
      </w:pPr>
      <w:r>
        <w:t>5.4 LLM Interface</w:t>
      </w:r>
    </w:p>
    <w:p>
      <w:pPr>
        <w:pStyle w:val="ListBullet"/>
        <w:spacing w:after="40"/>
      </w:pPr>
      <w:r>
        <w:t>Model registry stores identity, version, capabilities, compatibility and benchmark results.</w:t>
      </w:r>
    </w:p>
    <w:p>
      <w:pPr>
        <w:pStyle w:val="ListBullet"/>
        <w:spacing w:after="40"/>
      </w:pPr>
      <w:r>
        <w:t>Adapters handle timeouts, errors and partial responses safely.</w:t>
      </w:r>
    </w:p>
    <w:p>
      <w:pPr>
        <w:pStyle w:val="ListBullet"/>
        <w:spacing w:after="40"/>
      </w:pPr>
      <w:r>
        <w:t>External calls require project/user authorisation.</w:t>
      </w:r>
    </w:p>
    <w:p>
      <w:pPr>
        <w:pStyle w:val="ListBullet"/>
        <w:spacing w:after="40"/>
      </w:pPr>
      <w:r>
        <w:t>Model output cannot override access controls or system security policy.</w:t>
      </w:r>
    </w:p>
    <w:p>
      <w:pPr>
        <w:pStyle w:val="Heading2"/>
        <w:keepNext/>
      </w:pPr>
      <w:r>
        <w:t>5.5 GitHub and Email Interfaces</w:t>
      </w:r>
    </w:p>
    <w:p>
      <w:pPr>
        <w:pStyle w:val="ListBullet"/>
        <w:spacing w:after="40"/>
      </w:pPr>
      <w:r>
        <w:t>GitHub OAuth login is separate from repository permissions.</w:t>
      </w:r>
    </w:p>
    <w:p>
      <w:pPr>
        <w:pStyle w:val="ListBullet"/>
        <w:spacing w:after="40"/>
      </w:pPr>
      <w:r>
        <w:t>Repository writes require appropriate permissions and explicit approval.</w:t>
      </w:r>
    </w:p>
    <w:p>
      <w:pPr>
        <w:pStyle w:val="ListBullet"/>
        <w:spacing w:after="40"/>
      </w:pPr>
      <w:r>
        <w:t>Email delivery is required for verification and password reset; provider selection is pending.</w:t>
      </w:r>
    </w:p>
    <w:p>
      <w:pPr>
        <w:pStyle w:val="ListBullet"/>
        <w:spacing w:after="40"/>
      </w:pPr>
      <w:r>
        <w:t>GitHub failures, revoked permissions and branch conflicts shall be surfaced clearly.</w:t>
      </w:r>
    </w:p>
    <w:p>
      <w:pPr>
        <w:pStyle w:val="Heading1"/>
        <w:keepNext/>
      </w:pPr>
      <w:r>
        <w:t>6. Data Requirements and Retention</w:t>
      </w:r>
    </w:p>
    <w:p>
      <w:pPr>
        <w:pStyle w:val="Heading2"/>
        <w:keepNext/>
      </w:pPr>
      <w:r>
        <w:t>6.1 Logical Entities</w:t>
      </w:r>
    </w:p>
    <w:tbl>
      <w:tblPr>
        <w:tblStyle w:val="TableGrid"/>
        <w:tblW w:type="auto" w:w="0"/>
        <w:jc w:val="center"/>
        <w:tblLook w:firstColumn="1" w:firstRow="1" w:lastColumn="0" w:lastRow="0" w:noHBand="0" w:noVBand="1" w:val="04A0"/>
      </w:tblPr>
      <w:tblGrid>
        <w:gridCol w:w="5040"/>
        <w:gridCol w:w="5040"/>
      </w:tblGrid>
      <w:tr>
        <w:tc>
          <w:tcPr>
            <w:tcW w:type="dxa" w:w="2448"/>
            <w:shd w:fill="243B53"/>
          </w:tcPr>
          <w:p>
            <w:r>
              <w:rPr>
                <w:b/>
                <w:color w:val="FFFFFF"/>
                <w:sz w:val="16"/>
              </w:rPr>
              <w:t>Entity</w:t>
            </w:r>
          </w:p>
        </w:tc>
        <w:tc>
          <w:tcPr>
            <w:tcW w:type="dxa" w:w="7632"/>
            <w:shd w:fill="243B53"/>
          </w:tcPr>
          <w:p>
            <w:r>
              <w:rPr>
                <w:b/>
                <w:color w:val="FFFFFF"/>
                <w:sz w:val="16"/>
              </w:rPr>
              <w:t>Purpose</w:t>
            </w:r>
          </w:p>
        </w:tc>
      </w:tr>
      <w:tr>
        <w:tc>
          <w:tcPr>
            <w:tcW w:type="dxa" w:w="2448"/>
            <w:vAlign w:val="center"/>
          </w:tcPr>
          <w:p>
            <w:pPr>
              <w:spacing w:after="20"/>
            </w:pPr>
            <w:r>
              <w:rPr>
                <w:sz w:val="16"/>
              </w:rPr>
              <w:t>User</w:t>
            </w:r>
          </w:p>
        </w:tc>
        <w:tc>
          <w:tcPr>
            <w:tcW w:type="dxa" w:w="7632"/>
            <w:vAlign w:val="center"/>
          </w:tcPr>
          <w:p>
            <w:pPr>
              <w:spacing w:after="20"/>
            </w:pPr>
            <w:r>
              <w:rPr>
                <w:sz w:val="16"/>
              </w:rPr>
              <w:t>Identity, account status, explanation preference and authentication references.</w:t>
            </w:r>
          </w:p>
        </w:tc>
      </w:tr>
      <w:tr>
        <w:tc>
          <w:tcPr>
            <w:tcW w:type="dxa" w:w="2448"/>
            <w:vAlign w:val="center"/>
            <w:shd w:fill="F4F7FA"/>
          </w:tcPr>
          <w:p>
            <w:pPr>
              <w:spacing w:after="20"/>
            </w:pPr>
            <w:r>
              <w:rPr>
                <w:sz w:val="16"/>
              </w:rPr>
              <w:t>Project / membership</w:t>
            </w:r>
          </w:p>
        </w:tc>
        <w:tc>
          <w:tcPr>
            <w:tcW w:type="dxa" w:w="7632"/>
            <w:vAlign w:val="center"/>
            <w:shd w:fill="F4F7FA"/>
          </w:tcPr>
          <w:p>
            <w:pPr>
              <w:spacing w:after="20"/>
            </w:pPr>
            <w:r>
              <w:rPr>
                <w:sz w:val="16"/>
              </w:rPr>
              <w:t>Ownership, settings, source type, members, roles and project permissions.</w:t>
            </w:r>
          </w:p>
        </w:tc>
      </w:tr>
      <w:tr>
        <w:tc>
          <w:tcPr>
            <w:tcW w:type="dxa" w:w="2448"/>
            <w:vAlign w:val="center"/>
          </w:tcPr>
          <w:p>
            <w:pPr>
              <w:spacing w:after="20"/>
            </w:pPr>
            <w:r>
              <w:rPr>
                <w:sz w:val="16"/>
              </w:rPr>
              <w:t>Source import/revision</w:t>
            </w:r>
          </w:p>
        </w:tc>
        <w:tc>
          <w:tcPr>
            <w:tcW w:type="dxa" w:w="7632"/>
            <w:vAlign w:val="center"/>
          </w:tcPr>
          <w:p>
            <w:pPr>
              <w:spacing w:after="20"/>
            </w:pPr>
            <w:r>
              <w:rPr>
                <w:sz w:val="16"/>
              </w:rPr>
              <w:t>Origin, revision identifier, processing status and timestamps.</w:t>
            </w:r>
          </w:p>
        </w:tc>
      </w:tr>
      <w:tr>
        <w:tc>
          <w:tcPr>
            <w:tcW w:type="dxa" w:w="2448"/>
            <w:vAlign w:val="center"/>
            <w:shd w:fill="F4F7FA"/>
          </w:tcPr>
          <w:p>
            <w:pPr>
              <w:spacing w:after="20"/>
            </w:pPr>
            <w:r>
              <w:rPr>
                <w:sz w:val="16"/>
              </w:rPr>
              <w:t>Analysis job</w:t>
            </w:r>
          </w:p>
        </w:tc>
        <w:tc>
          <w:tcPr>
            <w:tcW w:type="dxa" w:w="7632"/>
            <w:vAlign w:val="center"/>
            <w:shd w:fill="F4F7FA"/>
          </w:tcPr>
          <w:p>
            <w:pPr>
              <w:spacing w:after="20"/>
            </w:pPr>
            <w:r>
              <w:rPr>
                <w:sz w:val="16"/>
              </w:rPr>
              <w:t>Project/revision, engine configuration, status, progress, timestamps and failure details.</w:t>
            </w:r>
          </w:p>
        </w:tc>
      </w:tr>
      <w:tr>
        <w:tc>
          <w:tcPr>
            <w:tcW w:type="dxa" w:w="2448"/>
            <w:vAlign w:val="center"/>
          </w:tcPr>
          <w:p>
            <w:pPr>
              <w:spacing w:after="20"/>
            </w:pPr>
            <w:r>
              <w:rPr>
                <w:sz w:val="16"/>
              </w:rPr>
              <w:t>Finding</w:t>
            </w:r>
          </w:p>
        </w:tc>
        <w:tc>
          <w:tcPr>
            <w:tcW w:type="dxa" w:w="7632"/>
            <w:vAlign w:val="center"/>
          </w:tcPr>
          <w:p>
            <w:pPr>
              <w:spacing w:after="20"/>
            </w:pPr>
            <w:r>
              <w:rPr>
                <w:sz w:val="16"/>
              </w:rPr>
              <w:t>Normalised issue, location, rule, original severity, confidence/evidence and status.</w:t>
            </w:r>
          </w:p>
        </w:tc>
      </w:tr>
      <w:tr>
        <w:tc>
          <w:tcPr>
            <w:tcW w:type="dxa" w:w="2448"/>
            <w:vAlign w:val="center"/>
            <w:shd w:fill="F4F7FA"/>
          </w:tcPr>
          <w:p>
            <w:pPr>
              <w:spacing w:after="20"/>
            </w:pPr>
            <w:r>
              <w:rPr>
                <w:sz w:val="16"/>
              </w:rPr>
              <w:t>Risk assessment</w:t>
            </w:r>
          </w:p>
        </w:tc>
        <w:tc>
          <w:tcPr>
            <w:tcW w:type="dxa" w:w="7632"/>
            <w:vAlign w:val="center"/>
            <w:shd w:fill="F4F7FA"/>
          </w:tcPr>
          <w:p>
            <w:pPr>
              <w:spacing w:after="20"/>
            </w:pPr>
            <w:r>
              <w:rPr>
                <w:sz w:val="16"/>
              </w:rPr>
              <w:t>Finding, score, contributing factors, model version and calculation time.</w:t>
            </w:r>
          </w:p>
        </w:tc>
      </w:tr>
      <w:tr>
        <w:tc>
          <w:tcPr>
            <w:tcW w:type="dxa" w:w="2448"/>
            <w:vAlign w:val="center"/>
          </w:tcPr>
          <w:p>
            <w:pPr>
              <w:spacing w:after="20"/>
            </w:pPr>
            <w:r>
              <w:rPr>
                <w:sz w:val="16"/>
              </w:rPr>
              <w:t>Conversation/message</w:t>
            </w:r>
          </w:p>
        </w:tc>
        <w:tc>
          <w:tcPr>
            <w:tcW w:type="dxa" w:w="7632"/>
            <w:vAlign w:val="center"/>
          </w:tcPr>
          <w:p>
            <w:pPr>
              <w:spacing w:after="20"/>
            </w:pPr>
            <w:r>
              <w:rPr>
                <w:sz w:val="16"/>
              </w:rPr>
              <w:t>Owner, context, activity/expiry state and content.</w:t>
            </w:r>
          </w:p>
        </w:tc>
      </w:tr>
      <w:tr>
        <w:tc>
          <w:tcPr>
            <w:tcW w:type="dxa" w:w="2448"/>
            <w:vAlign w:val="center"/>
            <w:shd w:fill="F4F7FA"/>
          </w:tcPr>
          <w:p>
            <w:pPr>
              <w:spacing w:after="20"/>
            </w:pPr>
            <w:r>
              <w:rPr>
                <w:sz w:val="16"/>
              </w:rPr>
              <w:t>Learning resource/lesson</w:t>
            </w:r>
          </w:p>
        </w:tc>
        <w:tc>
          <w:tcPr>
            <w:tcW w:type="dxa" w:w="7632"/>
            <w:vAlign w:val="center"/>
            <w:shd w:fill="F4F7FA"/>
          </w:tcPr>
          <w:p>
            <w:pPr>
              <w:spacing w:after="20"/>
            </w:pPr>
            <w:r>
              <w:rPr>
                <w:sz w:val="16"/>
              </w:rPr>
              <w:t>Topic, curated attribution/generated status, associated finding and level.</w:t>
            </w:r>
          </w:p>
        </w:tc>
      </w:tr>
      <w:tr>
        <w:tc>
          <w:tcPr>
            <w:tcW w:type="dxa" w:w="2448"/>
            <w:vAlign w:val="center"/>
          </w:tcPr>
          <w:p>
            <w:pPr>
              <w:spacing w:after="20"/>
            </w:pPr>
            <w:r>
              <w:rPr>
                <w:sz w:val="16"/>
              </w:rPr>
              <w:t>Fix proposal</w:t>
            </w:r>
          </w:p>
        </w:tc>
        <w:tc>
          <w:tcPr>
            <w:tcW w:type="dxa" w:w="7632"/>
            <w:vAlign w:val="center"/>
          </w:tcPr>
          <w:p>
            <w:pPr>
              <w:spacing w:after="20"/>
            </w:pPr>
            <w:r>
              <w:rPr>
                <w:sz w:val="16"/>
              </w:rPr>
              <w:t>Source revision, diff, approval, working copy/branch and outcome.</w:t>
            </w:r>
          </w:p>
        </w:tc>
      </w:tr>
      <w:tr>
        <w:tc>
          <w:tcPr>
            <w:tcW w:type="dxa" w:w="2448"/>
            <w:vAlign w:val="center"/>
            <w:shd w:fill="F4F7FA"/>
          </w:tcPr>
          <w:p>
            <w:pPr>
              <w:spacing w:after="20"/>
            </w:pPr>
            <w:r>
              <w:rPr>
                <w:sz w:val="16"/>
              </w:rPr>
              <w:t>Verification run</w:t>
            </w:r>
          </w:p>
        </w:tc>
        <w:tc>
          <w:tcPr>
            <w:tcW w:type="dxa" w:w="7632"/>
            <w:vAlign w:val="center"/>
            <w:shd w:fill="F4F7FA"/>
          </w:tcPr>
          <w:p>
            <w:pPr>
              <w:spacing w:after="20"/>
            </w:pPr>
            <w:r>
              <w:rPr>
                <w:sz w:val="16"/>
              </w:rPr>
              <w:t>Revision, checks, results, remaining findings and status.</w:t>
            </w:r>
          </w:p>
        </w:tc>
      </w:tr>
      <w:tr>
        <w:tc>
          <w:tcPr>
            <w:tcW w:type="dxa" w:w="2448"/>
            <w:vAlign w:val="center"/>
          </w:tcPr>
          <w:p>
            <w:pPr>
              <w:spacing w:after="20"/>
            </w:pPr>
            <w:r>
              <w:rPr>
                <w:sz w:val="16"/>
              </w:rPr>
              <w:t>Audit event</w:t>
            </w:r>
          </w:p>
        </w:tc>
        <w:tc>
          <w:tcPr>
            <w:tcW w:type="dxa" w:w="7632"/>
            <w:vAlign w:val="center"/>
          </w:tcPr>
          <w:p>
            <w:pPr>
              <w:spacing w:after="20"/>
            </w:pPr>
            <w:r>
              <w:rPr>
                <w:sz w:val="16"/>
              </w:rPr>
              <w:t>Actor, action, target, timestamp, outcome and relevant metadata.</w:t>
            </w:r>
          </w:p>
        </w:tc>
      </w:tr>
    </w:tbl>
    <w:p/>
    <w:p>
      <w:pPr>
        <w:pStyle w:val="Heading2"/>
        <w:keepNext/>
      </w:pPr>
      <w:r>
        <w:t>6.2 Retention</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243B53"/>
          </w:tcPr>
          <w:p>
            <w:r>
              <w:rPr>
                <w:b/>
                <w:color w:val="FFFFFF"/>
                <w:sz w:val="16"/>
              </w:rPr>
              <w:t>Data category</w:t>
            </w:r>
          </w:p>
        </w:tc>
        <w:tc>
          <w:tcPr>
            <w:tcW w:type="dxa" w:w="2592"/>
            <w:shd w:fill="243B53"/>
          </w:tcPr>
          <w:p>
            <w:r>
              <w:rPr>
                <w:b/>
                <w:color w:val="FFFFFF"/>
                <w:sz w:val="16"/>
              </w:rPr>
              <w:t>Policy</w:t>
            </w:r>
          </w:p>
        </w:tc>
        <w:tc>
          <w:tcPr>
            <w:tcW w:type="dxa" w:w="5256"/>
            <w:shd w:fill="243B53"/>
          </w:tcPr>
          <w:p>
            <w:r>
              <w:rPr>
                <w:b/>
                <w:color w:val="FFFFFF"/>
                <w:sz w:val="16"/>
              </w:rPr>
              <w:t>Notes</w:t>
            </w:r>
          </w:p>
        </w:tc>
      </w:tr>
      <w:tr>
        <w:tc>
          <w:tcPr>
            <w:tcW w:type="dxa" w:w="2232"/>
            <w:vAlign w:val="center"/>
          </w:tcPr>
          <w:p>
            <w:pPr>
              <w:spacing w:after="20"/>
            </w:pPr>
            <w:r>
              <w:rPr>
                <w:sz w:val="16"/>
              </w:rPr>
              <w:t>Project source</w:t>
            </w:r>
          </w:p>
        </w:tc>
        <w:tc>
          <w:tcPr>
            <w:tcW w:type="dxa" w:w="2592"/>
            <w:vAlign w:val="center"/>
          </w:tcPr>
          <w:p>
            <w:pPr>
              <w:spacing w:after="20"/>
            </w:pPr>
            <w:r>
              <w:rPr>
                <w:sz w:val="16"/>
              </w:rPr>
              <w:t>Until project deletion</w:t>
            </w:r>
          </w:p>
        </w:tc>
        <w:tc>
          <w:tcPr>
            <w:tcW w:type="dxa" w:w="5256"/>
            <w:vAlign w:val="center"/>
          </w:tcPr>
          <w:p>
            <w:pPr>
              <w:spacing w:after="20"/>
            </w:pPr>
            <w:r>
              <w:rPr>
                <w:sz w:val="16"/>
              </w:rPr>
              <w:t>Delete temporary processing files promptly; test failure cleanup.</w:t>
            </w:r>
          </w:p>
        </w:tc>
      </w:tr>
      <w:tr>
        <w:tc>
          <w:tcPr>
            <w:tcW w:type="dxa" w:w="2232"/>
            <w:vAlign w:val="center"/>
            <w:shd w:fill="F4F7FA"/>
          </w:tcPr>
          <w:p>
            <w:pPr>
              <w:spacing w:after="20"/>
            </w:pPr>
            <w:r>
              <w:rPr>
                <w:sz w:val="16"/>
              </w:rPr>
              <w:t>Analysis reports</w:t>
            </w:r>
          </w:p>
        </w:tc>
        <w:tc>
          <w:tcPr>
            <w:tcW w:type="dxa" w:w="2592"/>
            <w:vAlign w:val="center"/>
            <w:shd w:fill="F4F7FA"/>
          </w:tcPr>
          <w:p>
            <w:pPr>
              <w:spacing w:after="20"/>
            </w:pPr>
            <w:r>
              <w:rPr>
                <w:sz w:val="16"/>
              </w:rPr>
              <w:t>90 days</w:t>
            </w:r>
          </w:p>
        </w:tc>
        <w:tc>
          <w:tcPr>
            <w:tcW w:type="dxa" w:w="5256"/>
            <w:vAlign w:val="center"/>
            <w:shd w:fill="F4F7FA"/>
          </w:tcPr>
          <w:p>
            <w:pPr>
              <w:spacing w:after="20"/>
            </w:pPr>
            <w:r>
              <w:rPr>
                <w:sz w:val="16"/>
              </w:rPr>
              <w:t>Define separately from active project findings and raw engine output.</w:t>
            </w:r>
          </w:p>
        </w:tc>
      </w:tr>
      <w:tr>
        <w:tc>
          <w:tcPr>
            <w:tcW w:type="dxa" w:w="2232"/>
            <w:vAlign w:val="center"/>
          </w:tcPr>
          <w:p>
            <w:pPr>
              <w:spacing w:after="20"/>
            </w:pPr>
            <w:r>
              <w:rPr>
                <w:sz w:val="16"/>
              </w:rPr>
              <w:t>Expired conversation history</w:t>
            </w:r>
          </w:p>
        </w:tc>
        <w:tc>
          <w:tcPr>
            <w:tcW w:type="dxa" w:w="2592"/>
            <w:vAlign w:val="center"/>
          </w:tcPr>
          <w:p>
            <w:pPr>
              <w:spacing w:after="20"/>
            </w:pPr>
            <w:r>
              <w:rPr>
                <w:sz w:val="16"/>
              </w:rPr>
              <w:t>90 days after expiry</w:t>
            </w:r>
          </w:p>
        </w:tc>
        <w:tc>
          <w:tcPr>
            <w:tcW w:type="dxa" w:w="5256"/>
            <w:vAlign w:val="center"/>
          </w:tcPr>
          <w:p>
            <w:pPr>
              <w:spacing w:after="20"/>
            </w:pPr>
            <w:r>
              <w:rPr>
                <w:sz w:val="16"/>
              </w:rPr>
              <w:t>Read-only after four hours inactive.</w:t>
            </w:r>
          </w:p>
        </w:tc>
      </w:tr>
      <w:tr>
        <w:tc>
          <w:tcPr>
            <w:tcW w:type="dxa" w:w="2232"/>
            <w:vAlign w:val="center"/>
            <w:shd w:fill="F4F7FA"/>
          </w:tcPr>
          <w:p>
            <w:pPr>
              <w:spacing w:after="20"/>
            </w:pPr>
            <w:r>
              <w:rPr>
                <w:sz w:val="16"/>
              </w:rPr>
              <w:t>Audit/security logs</w:t>
            </w:r>
          </w:p>
        </w:tc>
        <w:tc>
          <w:tcPr>
            <w:tcW w:type="dxa" w:w="2592"/>
            <w:vAlign w:val="center"/>
            <w:shd w:fill="F4F7FA"/>
          </w:tcPr>
          <w:p>
            <w:pPr>
              <w:spacing w:after="20"/>
            </w:pPr>
            <w:r>
              <w:rPr>
                <w:sz w:val="16"/>
              </w:rPr>
              <w:t>30 days</w:t>
            </w:r>
          </w:p>
        </w:tc>
        <w:tc>
          <w:tcPr>
            <w:tcW w:type="dxa" w:w="5256"/>
            <w:vAlign w:val="center"/>
            <w:shd w:fill="F4F7FA"/>
          </w:tcPr>
          <w:p>
            <w:pPr>
              <w:spacing w:after="20"/>
            </w:pPr>
            <w:r>
              <w:rPr>
                <w:sz w:val="16"/>
              </w:rPr>
              <w:t>Avoid secrets and unnecessary source contents.</w:t>
            </w:r>
          </w:p>
        </w:tc>
      </w:tr>
      <w:tr>
        <w:tc>
          <w:tcPr>
            <w:tcW w:type="dxa" w:w="2232"/>
            <w:vAlign w:val="center"/>
          </w:tcPr>
          <w:p>
            <w:pPr>
              <w:spacing w:after="20"/>
            </w:pPr>
            <w:r>
              <w:rPr>
                <w:sz w:val="16"/>
              </w:rPr>
              <w:t>Account/security records</w:t>
            </w:r>
          </w:p>
        </w:tc>
        <w:tc>
          <w:tcPr>
            <w:tcW w:type="dxa" w:w="2592"/>
            <w:vAlign w:val="center"/>
          </w:tcPr>
          <w:p>
            <w:pPr>
              <w:spacing w:after="20"/>
            </w:pPr>
            <w:r>
              <w:rPr>
                <w:sz w:val="16"/>
              </w:rPr>
              <w:t>As required for account operation and applicable policy</w:t>
            </w:r>
          </w:p>
        </w:tc>
        <w:tc>
          <w:tcPr>
            <w:tcW w:type="dxa" w:w="5256"/>
            <w:vAlign w:val="center"/>
          </w:tcPr>
          <w:p>
            <w:pPr>
              <w:spacing w:after="20"/>
            </w:pPr>
            <w:r>
              <w:rPr>
                <w:sz w:val="16"/>
              </w:rPr>
              <w:t>Detailed policy needs deployment/legal review.</w:t>
            </w:r>
          </w:p>
        </w:tc>
      </w:tr>
      <w:tr>
        <w:tc>
          <w:tcPr>
            <w:tcW w:type="dxa" w:w="2232"/>
            <w:vAlign w:val="center"/>
            <w:shd w:fill="F4F7FA"/>
          </w:tcPr>
          <w:p>
            <w:pPr>
              <w:spacing w:after="20"/>
            </w:pPr>
            <w:r>
              <w:rPr>
                <w:sz w:val="16"/>
              </w:rPr>
              <w:t>Backups</w:t>
            </w:r>
          </w:p>
        </w:tc>
        <w:tc>
          <w:tcPr>
            <w:tcW w:type="dxa" w:w="2592"/>
            <w:vAlign w:val="center"/>
            <w:shd w:fill="F4F7FA"/>
          </w:tcPr>
          <w:p>
            <w:pPr>
              <w:spacing w:after="20"/>
            </w:pPr>
            <w:r>
              <w:rPr>
                <w:sz w:val="16"/>
              </w:rPr>
              <w:t>Pending deployment policy</w:t>
            </w:r>
          </w:p>
        </w:tc>
        <w:tc>
          <w:tcPr>
            <w:tcW w:type="dxa" w:w="5256"/>
            <w:vAlign w:val="center"/>
            <w:shd w:fill="F4F7FA"/>
          </w:tcPr>
          <w:p>
            <w:pPr>
              <w:spacing w:after="20"/>
            </w:pPr>
            <w:r>
              <w:rPr>
                <w:sz w:val="16"/>
              </w:rPr>
              <w:t>Document backup expiry and how deletion propagates.</w:t>
            </w:r>
          </w:p>
        </w:tc>
      </w:tr>
    </w:tbl>
    <w:p/>
    <w:p>
      <w:r>
        <w:t>Design clarification: the 90-day report policy must be reconciled with source retention until project deletion. The implementation must distinguish source files, raw engine output, normalised findings and downloadable reports, and define deletion at each lifecycle event.</w:t>
      </w:r>
    </w:p>
    <w:p>
      <w:pPr>
        <w:pStyle w:val="Heading2"/>
        <w:keepNext/>
      </w:pPr>
      <w:r>
        <w:t>6.3 Data Integrity and Privacy</w:t>
      </w:r>
    </w:p>
    <w:p>
      <w:pPr>
        <w:pStyle w:val="ListBullet"/>
        <w:spacing w:after="40"/>
      </w:pPr>
      <w:r>
        <w:t>Associate every project-scoped record with an authorised project/user context.</w:t>
      </w:r>
    </w:p>
    <w:p>
      <w:pPr>
        <w:pStyle w:val="ListBullet"/>
        <w:spacing w:after="40"/>
      </w:pPr>
      <w:r>
        <w:t>Prevent invalid ownership/membership relationships with database and application checks.</w:t>
      </w:r>
    </w:p>
    <w:p>
      <w:pPr>
        <w:pStyle w:val="ListBullet"/>
        <w:spacing w:after="40"/>
      </w:pPr>
      <w:r>
        <w:t>Store secrets safely and exclude credentials and unnecessary source contents from ordinary logs.</w:t>
      </w:r>
    </w:p>
    <w:p>
      <w:pPr>
        <w:pStyle w:val="ListBullet"/>
        <w:spacing w:after="40"/>
      </w:pPr>
      <w:r>
        <w:t>External AI transfer is allowed only after the relevant authorisation; otherwise no code is sent.</w:t>
      </w:r>
    </w:p>
    <w:p>
      <w:pPr>
        <w:pStyle w:val="ListBullet"/>
        <w:spacing w:after="40"/>
      </w:pPr>
      <w:r>
        <w:t>Before consent, communicate provider, data category and available cost information.</w:t>
      </w:r>
    </w:p>
    <w:p>
      <w:pPr>
        <w:pStyle w:val="ListBullet"/>
        <w:spacing w:after="40"/>
      </w:pPr>
      <w:r>
        <w:t>Review provider retention/training terms before enabling external processing.</w:t>
      </w:r>
    </w:p>
    <w:p>
      <w:pPr>
        <w:pStyle w:val="Heading1"/>
        <w:keepNext/>
      </w:pPr>
      <w:r>
        <w:t>7. Non-Functional Requirements</w:t>
      </w:r>
    </w:p>
    <w:p>
      <w:pPr>
        <w:pStyle w:val="Heading2"/>
        <w:keepNext/>
      </w:pPr>
      <w:r>
        <w:t>7.1 Performance and Responsiveness</w:t>
      </w:r>
    </w:p>
    <w:p>
      <w:r>
        <w:t>The following are provisional initial targets based on usability response-time principles, not measured performance claims. Final thresholds shall be reviewed against representative workloads, hardware, models and observed user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243B53"/>
          </w:tcPr>
          <w:p>
            <w:r>
              <w:rPr>
                <w:b/>
                <w:color w:val="FFFFFF"/>
                <w:sz w:val="16"/>
              </w:rPr>
              <w:t>Operation</w:t>
            </w:r>
          </w:p>
        </w:tc>
        <w:tc>
          <w:tcPr>
            <w:tcW w:type="dxa" w:w="3600"/>
            <w:shd w:fill="243B53"/>
          </w:tcPr>
          <w:p>
            <w:r>
              <w:rPr>
                <w:b/>
                <w:color w:val="FFFFFF"/>
                <w:sz w:val="16"/>
              </w:rPr>
              <w:t>Initial target</w:t>
            </w:r>
          </w:p>
        </w:tc>
        <w:tc>
          <w:tcPr>
            <w:tcW w:type="dxa" w:w="4248"/>
            <w:shd w:fill="243B53"/>
          </w:tcPr>
          <w:p>
            <w:r>
              <w:rPr>
                <w:b/>
                <w:color w:val="FFFFFF"/>
                <w:sz w:val="16"/>
              </w:rPr>
              <w:t>Required behaviour</w:t>
            </w:r>
          </w:p>
        </w:tc>
      </w:tr>
      <w:tr>
        <w:tc>
          <w:tcPr>
            <w:tcW w:type="dxa" w:w="2232"/>
            <w:vAlign w:val="center"/>
          </w:tcPr>
          <w:p>
            <w:pPr>
              <w:spacing w:after="20"/>
            </w:pPr>
            <w:r>
              <w:rPr>
                <w:sz w:val="16"/>
              </w:rPr>
              <w:t>Routine UI interaction</w:t>
            </w:r>
          </w:p>
        </w:tc>
        <w:tc>
          <w:tcPr>
            <w:tcW w:type="dxa" w:w="3600"/>
            <w:vAlign w:val="center"/>
          </w:tcPr>
          <w:p>
            <w:pPr>
              <w:spacing w:after="20"/>
            </w:pPr>
            <w:r>
              <w:rPr>
                <w:sz w:val="16"/>
              </w:rPr>
              <w:t>Target ≤ 100 ms where practical</w:t>
            </w:r>
          </w:p>
        </w:tc>
        <w:tc>
          <w:tcPr>
            <w:tcW w:type="dxa" w:w="4248"/>
            <w:vAlign w:val="center"/>
          </w:tcPr>
          <w:p>
            <w:pPr>
              <w:spacing w:after="20"/>
            </w:pPr>
            <w:r>
              <w:rPr>
                <w:sz w:val="16"/>
              </w:rPr>
              <w:t>Immediate acknowledgement for common local interactions.</w:t>
            </w:r>
          </w:p>
        </w:tc>
      </w:tr>
      <w:tr>
        <w:tc>
          <w:tcPr>
            <w:tcW w:type="dxa" w:w="2232"/>
            <w:vAlign w:val="center"/>
            <w:shd w:fill="F4F7FA"/>
          </w:tcPr>
          <w:p>
            <w:pPr>
              <w:spacing w:after="20"/>
            </w:pPr>
            <w:r>
              <w:rPr>
                <w:sz w:val="16"/>
              </w:rPr>
              <w:t>Routine API request</w:t>
            </w:r>
          </w:p>
        </w:tc>
        <w:tc>
          <w:tcPr>
            <w:tcW w:type="dxa" w:w="3600"/>
            <w:vAlign w:val="center"/>
            <w:shd w:fill="F4F7FA"/>
          </w:tcPr>
          <w:p>
            <w:pPr>
              <w:spacing w:after="20"/>
            </w:pPr>
            <w:r>
              <w:rPr>
                <w:sz w:val="16"/>
              </w:rPr>
              <w:t>p95 ≤ 1 second</w:t>
            </w:r>
          </w:p>
        </w:tc>
        <w:tc>
          <w:tcPr>
            <w:tcW w:type="dxa" w:w="4248"/>
            <w:vAlign w:val="center"/>
            <w:shd w:fill="F4F7FA"/>
          </w:tcPr>
          <w:p>
            <w:pPr>
              <w:spacing w:after="20"/>
            </w:pPr>
            <w:r>
              <w:rPr>
                <w:sz w:val="16"/>
              </w:rPr>
              <w:t>Measure under documented representative load.</w:t>
            </w:r>
          </w:p>
        </w:tc>
      </w:tr>
      <w:tr>
        <w:tc>
          <w:tcPr>
            <w:tcW w:type="dxa" w:w="2232"/>
            <w:vAlign w:val="center"/>
          </w:tcPr>
          <w:p>
            <w:pPr>
              <w:spacing w:after="20"/>
            </w:pPr>
            <w:r>
              <w:rPr>
                <w:sz w:val="16"/>
              </w:rPr>
              <w:t>Dashboard/issue list</w:t>
            </w:r>
          </w:p>
        </w:tc>
        <w:tc>
          <w:tcPr>
            <w:tcW w:type="dxa" w:w="3600"/>
            <w:vAlign w:val="center"/>
          </w:tcPr>
          <w:p>
            <w:pPr>
              <w:spacing w:after="20"/>
            </w:pPr>
            <w:r>
              <w:rPr>
                <w:sz w:val="16"/>
              </w:rPr>
              <w:t>p95 ≤ 2 seconds</w:t>
            </w:r>
          </w:p>
        </w:tc>
        <w:tc>
          <w:tcPr>
            <w:tcW w:type="dxa" w:w="4248"/>
            <w:vAlign w:val="center"/>
          </w:tcPr>
          <w:p>
            <w:pPr>
              <w:spacing w:after="20"/>
            </w:pPr>
            <w:r>
              <w:rPr>
                <w:sz w:val="16"/>
              </w:rPr>
              <w:t>Render useful initial content promptly.</w:t>
            </w:r>
          </w:p>
        </w:tc>
      </w:tr>
      <w:tr>
        <w:tc>
          <w:tcPr>
            <w:tcW w:type="dxa" w:w="2232"/>
            <w:vAlign w:val="center"/>
            <w:shd w:fill="F4F7FA"/>
          </w:tcPr>
          <w:p>
            <w:pPr>
              <w:spacing w:after="20"/>
            </w:pPr>
            <w:r>
              <w:rPr>
                <w:sz w:val="16"/>
              </w:rPr>
              <w:t>Analysis acknowledgement</w:t>
            </w:r>
          </w:p>
        </w:tc>
        <w:tc>
          <w:tcPr>
            <w:tcW w:type="dxa" w:w="3600"/>
            <w:vAlign w:val="center"/>
            <w:shd w:fill="F4F7FA"/>
          </w:tcPr>
          <w:p>
            <w:pPr>
              <w:spacing w:after="20"/>
            </w:pPr>
            <w:r>
              <w:rPr>
                <w:sz w:val="16"/>
              </w:rPr>
              <w:t>Target ≤ 1 second</w:t>
            </w:r>
          </w:p>
        </w:tc>
        <w:tc>
          <w:tcPr>
            <w:tcW w:type="dxa" w:w="4248"/>
            <w:vAlign w:val="center"/>
            <w:shd w:fill="F4F7FA"/>
          </w:tcPr>
          <w:p>
            <w:pPr>
              <w:spacing w:after="20"/>
            </w:pPr>
            <w:r>
              <w:rPr>
                <w:sz w:val="16"/>
              </w:rPr>
              <w:t>Return job ID/status without waiting for completion.</w:t>
            </w:r>
          </w:p>
        </w:tc>
      </w:tr>
      <w:tr>
        <w:tc>
          <w:tcPr>
            <w:tcW w:type="dxa" w:w="2232"/>
            <w:vAlign w:val="center"/>
          </w:tcPr>
          <w:p>
            <w:pPr>
              <w:spacing w:after="20"/>
            </w:pPr>
            <w:r>
              <w:rPr>
                <w:sz w:val="16"/>
              </w:rPr>
              <w:t>AI explanation</w:t>
            </w:r>
          </w:p>
        </w:tc>
        <w:tc>
          <w:tcPr>
            <w:tcW w:type="dxa" w:w="3600"/>
            <w:vAlign w:val="center"/>
          </w:tcPr>
          <w:p>
            <w:pPr>
              <w:spacing w:after="20"/>
            </w:pPr>
            <w:r>
              <w:rPr>
                <w:sz w:val="16"/>
              </w:rPr>
              <w:t>First visible response target ≤ 3 s; ordinary completion target ≤ 10 s</w:t>
            </w:r>
          </w:p>
        </w:tc>
        <w:tc>
          <w:tcPr>
            <w:tcW w:type="dxa" w:w="4248"/>
            <w:vAlign w:val="center"/>
          </w:tcPr>
          <w:p>
            <w:pPr>
              <w:spacing w:after="20"/>
            </w:pPr>
            <w:r>
              <w:rPr>
                <w:sz w:val="16"/>
              </w:rPr>
              <w:t>Streaming or clear loading feedback; record completion/failure.</w:t>
            </w:r>
          </w:p>
        </w:tc>
      </w:tr>
      <w:tr>
        <w:tc>
          <w:tcPr>
            <w:tcW w:type="dxa" w:w="2232"/>
            <w:vAlign w:val="center"/>
            <w:shd w:fill="F4F7FA"/>
          </w:tcPr>
          <w:p>
            <w:pPr>
              <w:spacing w:after="20"/>
            </w:pPr>
            <w:r>
              <w:rPr>
                <w:sz w:val="16"/>
              </w:rPr>
              <w:t>AI fix suggestion</w:t>
            </w:r>
          </w:p>
        </w:tc>
        <w:tc>
          <w:tcPr>
            <w:tcW w:type="dxa" w:w="3600"/>
            <w:vAlign w:val="center"/>
            <w:shd w:fill="F4F7FA"/>
          </w:tcPr>
          <w:p>
            <w:pPr>
              <w:spacing w:after="20"/>
            </w:pPr>
            <w:r>
              <w:rPr>
                <w:sz w:val="16"/>
              </w:rPr>
              <w:t>Ordinary completion target ≤ 15 s</w:t>
            </w:r>
          </w:p>
        </w:tc>
        <w:tc>
          <w:tcPr>
            <w:tcW w:type="dxa" w:w="4248"/>
            <w:vAlign w:val="center"/>
            <w:shd w:fill="F4F7FA"/>
          </w:tcPr>
          <w:p>
            <w:pPr>
              <w:spacing w:after="20"/>
            </w:pPr>
            <w:r>
              <w:rPr>
                <w:sz w:val="16"/>
              </w:rPr>
              <w:t>Progress feedback; cancellation where supported; report timeouts.</w:t>
            </w:r>
          </w:p>
        </w:tc>
      </w:tr>
      <w:tr>
        <w:tc>
          <w:tcPr>
            <w:tcW w:type="dxa" w:w="2232"/>
            <w:vAlign w:val="center"/>
          </w:tcPr>
          <w:p>
            <w:pPr>
              <w:spacing w:after="20"/>
            </w:pPr>
            <w:r>
              <w:rPr>
                <w:sz w:val="16"/>
              </w:rPr>
              <w:t>Full repository analysis</w:t>
            </w:r>
          </w:p>
        </w:tc>
        <w:tc>
          <w:tcPr>
            <w:tcW w:type="dxa" w:w="3600"/>
            <w:vAlign w:val="center"/>
          </w:tcPr>
          <w:p>
            <w:pPr>
              <w:spacing w:after="20"/>
            </w:pPr>
            <w:r>
              <w:rPr>
                <w:sz w:val="16"/>
              </w:rPr>
              <w:t>Asynchronous; no fixed completion time yet</w:t>
            </w:r>
          </w:p>
        </w:tc>
        <w:tc>
          <w:tcPr>
            <w:tcW w:type="dxa" w:w="4248"/>
            <w:vAlign w:val="center"/>
          </w:tcPr>
          <w:p>
            <w:pPr>
              <w:spacing w:after="20"/>
            </w:pPr>
            <w:r>
              <w:rPr>
                <w:sz w:val="16"/>
              </w:rPr>
              <w:t>Show job state and progress where measurable.</w:t>
            </w:r>
          </w:p>
        </w:tc>
      </w:tr>
    </w:tbl>
    <w:p/>
    <w:p>
      <w:r>
        <w:t>p95 means 95% of measured operations meet the target. Benchmark local and external AI separately. Record workload size, language mix, engine/model version, hardware, concurrency and network conditions.</w:t>
      </w:r>
    </w:p>
    <w:p>
      <w:pPr>
        <w:pStyle w:val="Heading2"/>
        <w:keepNext/>
      </w:pPr>
      <w:r>
        <w:t>7.2 Usability and Accessibility</w:t>
      </w:r>
    </w:p>
    <w:p>
      <w:pPr>
        <w:pStyle w:val="ListBullet"/>
        <w:spacing w:after="40"/>
      </w:pPr>
      <w:r>
        <w:t>Follow visibility of status, consistency, error prevention, user control and recovery principles.</w:t>
      </w:r>
    </w:p>
    <w:p>
      <w:pPr>
        <w:pStyle w:val="ListBullet"/>
        <w:spacing w:after="40"/>
      </w:pPr>
      <w:r>
        <w:t>Do not leave users guessing whether long-running work started.</w:t>
      </w:r>
    </w:p>
    <w:p>
      <w:pPr>
        <w:pStyle w:val="ListBullet"/>
        <w:spacing w:after="40"/>
      </w:pPr>
      <w:r>
        <w:t>Let users inspect evidence behind issues and risk ranking.</w:t>
      </w:r>
    </w:p>
    <w:p>
      <w:pPr>
        <w:pStyle w:val="ListBullet"/>
        <w:spacing w:after="40"/>
      </w:pPr>
      <w:r>
        <w:t>Support keyboard navigation, visible focus, readable contrast and accessible labels for core workflows.</w:t>
      </w:r>
    </w:p>
    <w:p>
      <w:pPr>
        <w:pStyle w:val="ListBullet"/>
        <w:spacing w:after="40"/>
      </w:pPr>
      <w:r>
        <w:t>Make explanation level selectable in issue and learning views.</w:t>
      </w:r>
    </w:p>
    <w:p>
      <w:pPr>
        <w:pStyle w:val="Heading2"/>
        <w:keepNext/>
      </w:pPr>
      <w:r>
        <w:t>7.3 Security</w:t>
      </w:r>
    </w:p>
    <w:p>
      <w:pPr>
        <w:pStyle w:val="ListBullet"/>
        <w:spacing w:after="40"/>
      </w:pPr>
      <w:r>
        <w:t>Enforce authentication, server-side authorisation and project isolation.</w:t>
      </w:r>
    </w:p>
    <w:p>
      <w:pPr>
        <w:pStyle w:val="ListBullet"/>
        <w:spacing w:after="40"/>
      </w:pPr>
      <w:r>
        <w:t>Validate uploads; prevent archive path traversal; enforce expansion, time and resource limits.</w:t>
      </w:r>
    </w:p>
    <w:p>
      <w:pPr>
        <w:pStyle w:val="ListBullet"/>
        <w:spacing w:after="40"/>
      </w:pPr>
      <w:r>
        <w:t>Use least-privilege repository permissions and protect OAuth/provider secrets.</w:t>
      </w:r>
    </w:p>
    <w:p>
      <w:pPr>
        <w:pStyle w:val="ListBullet"/>
        <w:spacing w:after="40"/>
      </w:pPr>
      <w:r>
        <w:t>Require approval before applying fixes or writing to GitHub.</w:t>
      </w:r>
    </w:p>
    <w:p>
      <w:pPr>
        <w:pStyle w:val="ListBullet"/>
        <w:spacing w:after="40"/>
      </w:pPr>
      <w:r>
        <w:t>Prevent unauthorised external code transfer and apply configured cost controls.</w:t>
      </w:r>
    </w:p>
    <w:p>
      <w:pPr>
        <w:pStyle w:val="ListBullet"/>
        <w:spacing w:after="40"/>
      </w:pPr>
      <w:r>
        <w:t>Use secure transport, appropriate password hashing and session controls.</w:t>
      </w:r>
    </w:p>
    <w:p>
      <w:pPr>
        <w:pStyle w:val="ListBullet"/>
        <w:spacing w:after="40"/>
      </w:pPr>
      <w:r>
        <w:t>Log security-sensitive events while minimising sensitive data.</w:t>
      </w:r>
    </w:p>
    <w:p>
      <w:pPr>
        <w:pStyle w:val="Heading2"/>
        <w:keepNext/>
      </w:pPr>
      <w:r>
        <w:t>7.4 Reliability, Explainability and Maintainability</w:t>
      </w:r>
    </w:p>
    <w:p>
      <w:pPr>
        <w:pStyle w:val="ListBullet"/>
        <w:spacing w:after="40"/>
      </w:pPr>
      <w:r>
        <w:t>Provider failure shall not erase completed analysis results.</w:t>
      </w:r>
    </w:p>
    <w:p>
      <w:pPr>
        <w:pStyle w:val="ListBullet"/>
        <w:spacing w:after="40"/>
      </w:pPr>
      <w:r>
        <w:t>Bound retries and avoid duplicate destructive operations through idempotency safeguards.</w:t>
      </w:r>
    </w:p>
    <w:p>
      <w:pPr>
        <w:pStyle w:val="ListBullet"/>
        <w:spacing w:after="40"/>
      </w:pPr>
      <w:r>
        <w:t>Preserve original source and detect stale fix revisions/conflicts.</w:t>
      </w:r>
    </w:p>
    <w:p>
      <w:pPr>
        <w:pStyle w:val="ListBullet"/>
        <w:spacing w:after="40"/>
      </w:pPr>
      <w:r>
        <w:t>Scores shall be deterministic for the same inputs and scoring version.</w:t>
      </w:r>
    </w:p>
    <w:p>
      <w:pPr>
        <w:pStyle w:val="ListBullet"/>
        <w:spacing w:after="40"/>
      </w:pPr>
      <w:r>
        <w:t>Expose score factors and uncertainty; distinguish suggested from verified fixes.</w:t>
      </w:r>
    </w:p>
    <w:p>
      <w:pPr>
        <w:pStyle w:val="ListBullet"/>
        <w:spacing w:after="40"/>
      </w:pPr>
      <w:r>
        <w:t>Version internal finding schema and scoring model; document adapters, APIs and operations.</w:t>
      </w:r>
    </w:p>
    <w:p>
      <w:pPr>
        <w:pStyle w:val="ListBullet"/>
        <w:spacing w:after="40"/>
      </w:pPr>
      <w:r>
        <w:t>Provide backup/restore and recovery procedures before production deployment.</w:t>
      </w:r>
    </w:p>
    <w:p>
      <w:pPr>
        <w:pStyle w:val="Heading2"/>
        <w:keepNext/>
      </w:pPr>
      <w:r>
        <w:t>7.5 Scalability and Privacy</w:t>
      </w:r>
    </w:p>
    <w:p>
      <w:r>
        <w:t>Initial load testing shall include 5–10 simultaneous users as a provisional baseline. Measure queue behaviour, resource use, failures and response times; define higher-scale targets after observing workload needs.</w:t>
      </w:r>
    </w:p>
    <w:p>
      <w:pPr>
        <w:pStyle w:val="ListBullet"/>
        <w:spacing w:after="40"/>
      </w:pPr>
      <w:r>
        <w:t>Collect and retain only data required for agreed features.</w:t>
      </w:r>
    </w:p>
    <w:p>
      <w:pPr>
        <w:pStyle w:val="ListBullet"/>
        <w:spacing w:after="40"/>
      </w:pPr>
      <w:r>
        <w:t>Respect source, report, conversation and audit retention policies.</w:t>
      </w:r>
    </w:p>
    <w:p>
      <w:pPr>
        <w:pStyle w:val="ListBullet"/>
        <w:spacing w:after="40"/>
      </w:pPr>
      <w:r>
        <w:t>Scope learning-progress data to the appropriate user/project.</w:t>
      </w:r>
    </w:p>
    <w:p>
      <w:pPr>
        <w:pStyle w:val="ListBullet"/>
        <w:spacing w:after="40"/>
      </w:pPr>
      <w:r>
        <w:t>Do not claim mastery based solely on viewing learning material.</w:t>
      </w:r>
    </w:p>
    <w:p>
      <w:pPr>
        <w:pStyle w:val="Heading1"/>
        <w:keepNext/>
      </w:pPr>
      <w:r>
        <w:t>8. Core Use Cases</w:t>
      </w:r>
    </w:p>
    <w:p>
      <w:pPr>
        <w:pStyle w:val="Heading2"/>
        <w:keepNext/>
      </w:pPr>
      <w:r>
        <w:t>UC-01 — Import and Analyse Code</w:t>
      </w:r>
    </w:p>
    <w:tbl>
      <w:tblPr>
        <w:tblStyle w:val="TableGrid"/>
        <w:tblW w:type="auto" w:w="0"/>
        <w:jc w:val="center"/>
        <w:tblLook w:firstColumn="1" w:firstRow="1" w:lastColumn="0" w:lastRow="0" w:noHBand="0" w:noVBand="1" w:val="04A0"/>
      </w:tblPr>
      <w:tblGrid>
        <w:gridCol w:w="5040"/>
        <w:gridCol w:w="5040"/>
      </w:tblGrid>
      <w:tr>
        <w:tc>
          <w:tcPr>
            <w:tcW w:type="dxa" w:w="2016"/>
            <w:shd w:fill="243B53"/>
          </w:tcPr>
          <w:p>
            <w:r>
              <w:rPr>
                <w:b/>
                <w:color w:val="FFFFFF"/>
                <w:sz w:val="16"/>
              </w:rPr>
              <w:t>Field</w:t>
            </w:r>
          </w:p>
        </w:tc>
        <w:tc>
          <w:tcPr>
            <w:tcW w:type="dxa" w:w="8064"/>
            <w:shd w:fill="243B53"/>
          </w:tcPr>
          <w:p>
            <w:r>
              <w:rPr>
                <w:b/>
                <w:color w:val="FFFFFF"/>
                <w:sz w:val="16"/>
              </w:rPr>
              <w:t>Description</w:t>
            </w:r>
          </w:p>
        </w:tc>
      </w:tr>
      <w:tr>
        <w:tc>
          <w:tcPr>
            <w:tcW w:type="dxa" w:w="2016"/>
            <w:vAlign w:val="center"/>
          </w:tcPr>
          <w:p>
            <w:pPr>
              <w:spacing w:after="20"/>
            </w:pPr>
            <w:r>
              <w:rPr>
                <w:sz w:val="16"/>
              </w:rPr>
              <w:t>Actor</w:t>
            </w:r>
          </w:p>
        </w:tc>
        <w:tc>
          <w:tcPr>
            <w:tcW w:type="dxa" w:w="8064"/>
            <w:vAlign w:val="center"/>
          </w:tcPr>
          <w:p>
            <w:pPr>
              <w:spacing w:after="20"/>
            </w:pPr>
            <w:r>
              <w:rPr>
                <w:sz w:val="16"/>
              </w:rPr>
              <w:t>Project Owner or authorised Developer</w:t>
            </w:r>
          </w:p>
        </w:tc>
      </w:tr>
      <w:tr>
        <w:tc>
          <w:tcPr>
            <w:tcW w:type="dxa" w:w="2016"/>
            <w:vAlign w:val="center"/>
            <w:shd w:fill="F4F7FA"/>
          </w:tcPr>
          <w:p>
            <w:pPr>
              <w:spacing w:after="20"/>
            </w:pPr>
            <w:r>
              <w:rPr>
                <w:sz w:val="16"/>
              </w:rPr>
              <w:t>Preconditions</w:t>
            </w:r>
          </w:p>
        </w:tc>
        <w:tc>
          <w:tcPr>
            <w:tcW w:type="dxa" w:w="8064"/>
            <w:vAlign w:val="center"/>
            <w:shd w:fill="F4F7FA"/>
          </w:tcPr>
          <w:p>
            <w:pPr>
              <w:spacing w:after="20"/>
            </w:pPr>
            <w:r>
              <w:rPr>
                <w:sz w:val="16"/>
              </w:rPr>
              <w:t>Authenticated user; project exists or user can create one.</w:t>
            </w:r>
          </w:p>
        </w:tc>
      </w:tr>
      <w:tr>
        <w:tc>
          <w:tcPr>
            <w:tcW w:type="dxa" w:w="2016"/>
            <w:vAlign w:val="center"/>
          </w:tcPr>
          <w:p>
            <w:pPr>
              <w:spacing w:after="20"/>
            </w:pPr>
            <w:r>
              <w:rPr>
                <w:sz w:val="16"/>
              </w:rPr>
              <w:t>Main flow</w:t>
            </w:r>
          </w:p>
        </w:tc>
        <w:tc>
          <w:tcPr>
            <w:tcW w:type="dxa" w:w="8064"/>
            <w:vAlign w:val="center"/>
          </w:tcPr>
          <w:p>
            <w:pPr>
              <w:spacing w:after="20"/>
            </w:pPr>
            <w:r>
              <w:rPr>
                <w:sz w:val="16"/>
              </w:rPr>
              <w:t>Select ZIP or GitHub repository; validate input; record revision; enqueue analysis; show progress; normalise findings; calculate risk scores; display dashboard.</w:t>
            </w:r>
          </w:p>
        </w:tc>
      </w:tr>
      <w:tr>
        <w:tc>
          <w:tcPr>
            <w:tcW w:type="dxa" w:w="2016"/>
            <w:vAlign w:val="center"/>
            <w:shd w:fill="F4F7FA"/>
          </w:tcPr>
          <w:p>
            <w:pPr>
              <w:spacing w:after="20"/>
            </w:pPr>
            <w:r>
              <w:rPr>
                <w:sz w:val="16"/>
              </w:rPr>
              <w:t>Alternatives</w:t>
            </w:r>
          </w:p>
        </w:tc>
        <w:tc>
          <w:tcPr>
            <w:tcW w:type="dxa" w:w="8064"/>
            <w:vAlign w:val="center"/>
            <w:shd w:fill="F4F7FA"/>
          </w:tcPr>
          <w:p>
            <w:pPr>
              <w:spacing w:after="20"/>
            </w:pPr>
            <w:r>
              <w:rPr>
                <w:sz w:val="16"/>
              </w:rPr>
              <w:t>Oversized/unsafe ZIP, revoked permission, unsupported language, partial engine failure or timeout.</w:t>
            </w:r>
          </w:p>
        </w:tc>
      </w:tr>
      <w:tr>
        <w:tc>
          <w:tcPr>
            <w:tcW w:type="dxa" w:w="2016"/>
            <w:vAlign w:val="center"/>
          </w:tcPr>
          <w:p>
            <w:pPr>
              <w:spacing w:after="20"/>
            </w:pPr>
            <w:r>
              <w:rPr>
                <w:sz w:val="16"/>
              </w:rPr>
              <w:t>Postconditions</w:t>
            </w:r>
          </w:p>
        </w:tc>
        <w:tc>
          <w:tcPr>
            <w:tcW w:type="dxa" w:w="8064"/>
            <w:vAlign w:val="center"/>
          </w:tcPr>
          <w:p>
            <w:pPr>
              <w:spacing w:after="20"/>
            </w:pPr>
            <w:r>
              <w:rPr>
                <w:sz w:val="16"/>
              </w:rPr>
              <w:t>Job status and available findings are persisted; limitations/failures are visible.</w:t>
            </w:r>
          </w:p>
        </w:tc>
      </w:tr>
    </w:tbl>
    <w:p/>
    <w:p>
      <w:pPr>
        <w:pStyle w:val="Heading2"/>
        <w:keepNext/>
      </w:pPr>
      <w:r>
        <w:t>UC-02 — Explain an Issue and Learn</w:t>
      </w:r>
    </w:p>
    <w:tbl>
      <w:tblPr>
        <w:tblStyle w:val="TableGrid"/>
        <w:tblW w:type="auto" w:w="0"/>
        <w:jc w:val="center"/>
        <w:tblLook w:firstColumn="1" w:firstRow="1" w:lastColumn="0" w:lastRow="0" w:noHBand="0" w:noVBand="1" w:val="04A0"/>
      </w:tblPr>
      <w:tblGrid>
        <w:gridCol w:w="5040"/>
        <w:gridCol w:w="5040"/>
      </w:tblGrid>
      <w:tr>
        <w:tc>
          <w:tcPr>
            <w:tcW w:type="dxa" w:w="2016"/>
            <w:shd w:fill="243B53"/>
          </w:tcPr>
          <w:p>
            <w:r>
              <w:rPr>
                <w:b/>
                <w:color w:val="FFFFFF"/>
                <w:sz w:val="16"/>
              </w:rPr>
              <w:t>Field</w:t>
            </w:r>
          </w:p>
        </w:tc>
        <w:tc>
          <w:tcPr>
            <w:tcW w:type="dxa" w:w="8064"/>
            <w:shd w:fill="243B53"/>
          </w:tcPr>
          <w:p>
            <w:r>
              <w:rPr>
                <w:b/>
                <w:color w:val="FFFFFF"/>
                <w:sz w:val="16"/>
              </w:rPr>
              <w:t>Description</w:t>
            </w:r>
          </w:p>
        </w:tc>
      </w:tr>
      <w:tr>
        <w:tc>
          <w:tcPr>
            <w:tcW w:type="dxa" w:w="2016"/>
            <w:vAlign w:val="center"/>
          </w:tcPr>
          <w:p>
            <w:pPr>
              <w:spacing w:after="20"/>
            </w:pPr>
            <w:r>
              <w:rPr>
                <w:sz w:val="16"/>
              </w:rPr>
              <w:t>Actor</w:t>
            </w:r>
          </w:p>
        </w:tc>
        <w:tc>
          <w:tcPr>
            <w:tcW w:type="dxa" w:w="8064"/>
            <w:vAlign w:val="center"/>
          </w:tcPr>
          <w:p>
            <w:pPr>
              <w:spacing w:after="20"/>
            </w:pPr>
            <w:r>
              <w:rPr>
                <w:sz w:val="16"/>
              </w:rPr>
              <w:t>Permitted Developer/Collaborator or Viewer</w:t>
            </w:r>
          </w:p>
        </w:tc>
      </w:tr>
      <w:tr>
        <w:tc>
          <w:tcPr>
            <w:tcW w:type="dxa" w:w="2016"/>
            <w:vAlign w:val="center"/>
            <w:shd w:fill="F4F7FA"/>
          </w:tcPr>
          <w:p>
            <w:pPr>
              <w:spacing w:after="20"/>
            </w:pPr>
            <w:r>
              <w:rPr>
                <w:sz w:val="16"/>
              </w:rPr>
              <w:t>Preconditions</w:t>
            </w:r>
          </w:p>
        </w:tc>
        <w:tc>
          <w:tcPr>
            <w:tcW w:type="dxa" w:w="8064"/>
            <w:vAlign w:val="center"/>
            <w:shd w:fill="F4F7FA"/>
          </w:tcPr>
          <w:p>
            <w:pPr>
              <w:spacing w:after="20"/>
            </w:pPr>
            <w:r>
              <w:rPr>
                <w:sz w:val="16"/>
              </w:rPr>
              <w:t>Finding exists and user can view it.</w:t>
            </w:r>
          </w:p>
        </w:tc>
      </w:tr>
      <w:tr>
        <w:tc>
          <w:tcPr>
            <w:tcW w:type="dxa" w:w="2016"/>
            <w:vAlign w:val="center"/>
          </w:tcPr>
          <w:p>
            <w:pPr>
              <w:spacing w:after="20"/>
            </w:pPr>
            <w:r>
              <w:rPr>
                <w:sz w:val="16"/>
              </w:rPr>
              <w:t>Main flow</w:t>
            </w:r>
          </w:p>
        </w:tc>
        <w:tc>
          <w:tcPr>
            <w:tcW w:type="dxa" w:w="8064"/>
            <w:vAlign w:val="center"/>
          </w:tcPr>
          <w:p>
            <w:pPr>
              <w:spacing w:after="20"/>
            </w:pPr>
            <w:r>
              <w:rPr>
                <w:sz w:val="16"/>
              </w:rPr>
              <w:t>Open issue; choose experience level; inspect evidence; request explanation; explore lesson/example; ask follow-up; optionally mark activity complete.</w:t>
            </w:r>
          </w:p>
        </w:tc>
      </w:tr>
      <w:tr>
        <w:tc>
          <w:tcPr>
            <w:tcW w:type="dxa" w:w="2016"/>
            <w:vAlign w:val="center"/>
            <w:shd w:fill="F4F7FA"/>
          </w:tcPr>
          <w:p>
            <w:pPr>
              <w:spacing w:after="20"/>
            </w:pPr>
            <w:r>
              <w:rPr>
                <w:sz w:val="16"/>
              </w:rPr>
              <w:t>Alternatives</w:t>
            </w:r>
          </w:p>
        </w:tc>
        <w:tc>
          <w:tcPr>
            <w:tcW w:type="dxa" w:w="8064"/>
            <w:vAlign w:val="center"/>
            <w:shd w:fill="F4F7FA"/>
          </w:tcPr>
          <w:p>
            <w:pPr>
              <w:spacing w:after="20"/>
            </w:pPr>
            <w:r>
              <w:rPr>
                <w:sz w:val="16"/>
              </w:rPr>
              <w:t>Insufficient context, local model unavailable, external fallback not authorised or provider failure.</w:t>
            </w:r>
          </w:p>
        </w:tc>
      </w:tr>
      <w:tr>
        <w:tc>
          <w:tcPr>
            <w:tcW w:type="dxa" w:w="2016"/>
            <w:vAlign w:val="center"/>
          </w:tcPr>
          <w:p>
            <w:pPr>
              <w:spacing w:after="20"/>
            </w:pPr>
            <w:r>
              <w:rPr>
                <w:sz w:val="16"/>
              </w:rPr>
              <w:t>Postconditions</w:t>
            </w:r>
          </w:p>
        </w:tc>
        <w:tc>
          <w:tcPr>
            <w:tcW w:type="dxa" w:w="8064"/>
            <w:vAlign w:val="center"/>
          </w:tcPr>
          <w:p>
            <w:pPr>
              <w:spacing w:after="20"/>
            </w:pPr>
            <w:r>
              <w:rPr>
                <w:sz w:val="16"/>
              </w:rPr>
              <w:t>Explanation/activity retained according to policy; uncertainty is disclosed.</w:t>
            </w:r>
          </w:p>
        </w:tc>
      </w:tr>
    </w:tbl>
    <w:p/>
    <w:p>
      <w:pPr>
        <w:pStyle w:val="Heading2"/>
        <w:keepNext/>
      </w:pPr>
      <w:r>
        <w:t>UC-03 — Propose, Review and Verify a Fix</w:t>
      </w:r>
    </w:p>
    <w:tbl>
      <w:tblPr>
        <w:tblStyle w:val="TableGrid"/>
        <w:tblW w:type="auto" w:w="0"/>
        <w:jc w:val="center"/>
        <w:tblLook w:firstColumn="1" w:firstRow="1" w:lastColumn="0" w:lastRow="0" w:noHBand="0" w:noVBand="1" w:val="04A0"/>
      </w:tblPr>
      <w:tblGrid>
        <w:gridCol w:w="5040"/>
        <w:gridCol w:w="5040"/>
      </w:tblGrid>
      <w:tr>
        <w:tc>
          <w:tcPr>
            <w:tcW w:type="dxa" w:w="2016"/>
            <w:shd w:fill="243B53"/>
          </w:tcPr>
          <w:p>
            <w:r>
              <w:rPr>
                <w:b/>
                <w:color w:val="FFFFFF"/>
                <w:sz w:val="16"/>
              </w:rPr>
              <w:t>Field</w:t>
            </w:r>
          </w:p>
        </w:tc>
        <w:tc>
          <w:tcPr>
            <w:tcW w:type="dxa" w:w="8064"/>
            <w:shd w:fill="243B53"/>
          </w:tcPr>
          <w:p>
            <w:r>
              <w:rPr>
                <w:b/>
                <w:color w:val="FFFFFF"/>
                <w:sz w:val="16"/>
              </w:rPr>
              <w:t>Description</w:t>
            </w:r>
          </w:p>
        </w:tc>
      </w:tr>
      <w:tr>
        <w:tc>
          <w:tcPr>
            <w:tcW w:type="dxa" w:w="2016"/>
            <w:vAlign w:val="center"/>
          </w:tcPr>
          <w:p>
            <w:pPr>
              <w:spacing w:after="20"/>
            </w:pPr>
            <w:r>
              <w:rPr>
                <w:sz w:val="16"/>
              </w:rPr>
              <w:t>Actor</w:t>
            </w:r>
          </w:p>
        </w:tc>
        <w:tc>
          <w:tcPr>
            <w:tcW w:type="dxa" w:w="8064"/>
            <w:vAlign w:val="center"/>
          </w:tcPr>
          <w:p>
            <w:pPr>
              <w:spacing w:after="20"/>
            </w:pPr>
            <w:r>
              <w:rPr>
                <w:sz w:val="16"/>
              </w:rPr>
              <w:t>Project Owner or authorised Developer</w:t>
            </w:r>
          </w:p>
        </w:tc>
      </w:tr>
      <w:tr>
        <w:tc>
          <w:tcPr>
            <w:tcW w:type="dxa" w:w="2016"/>
            <w:vAlign w:val="center"/>
            <w:shd w:fill="F4F7FA"/>
          </w:tcPr>
          <w:p>
            <w:pPr>
              <w:spacing w:after="20"/>
            </w:pPr>
            <w:r>
              <w:rPr>
                <w:sz w:val="16"/>
              </w:rPr>
              <w:t>Preconditions</w:t>
            </w:r>
          </w:p>
        </w:tc>
        <w:tc>
          <w:tcPr>
            <w:tcW w:type="dxa" w:w="8064"/>
            <w:vAlign w:val="center"/>
            <w:shd w:fill="F4F7FA"/>
          </w:tcPr>
          <w:p>
            <w:pPr>
              <w:spacing w:after="20"/>
            </w:pPr>
            <w:r>
              <w:rPr>
                <w:sz w:val="16"/>
              </w:rPr>
              <w:t>Finding and source revision exist; required permissions available.</w:t>
            </w:r>
          </w:p>
        </w:tc>
      </w:tr>
      <w:tr>
        <w:tc>
          <w:tcPr>
            <w:tcW w:type="dxa" w:w="2016"/>
            <w:vAlign w:val="center"/>
          </w:tcPr>
          <w:p>
            <w:pPr>
              <w:spacing w:after="20"/>
            </w:pPr>
            <w:r>
              <w:rPr>
                <w:sz w:val="16"/>
              </w:rPr>
              <w:t>Main flow</w:t>
            </w:r>
          </w:p>
        </w:tc>
        <w:tc>
          <w:tcPr>
            <w:tcW w:type="dxa" w:w="8064"/>
            <w:vAlign w:val="center"/>
          </w:tcPr>
          <w:p>
            <w:pPr>
              <w:spacing w:after="20"/>
            </w:pPr>
            <w:r>
              <w:rPr>
                <w:sz w:val="16"/>
              </w:rPr>
              <w:t>Request fix; inspect rationale/diff; approve or reject; apply to separate working copy/branch; create PR or ZIP; re-analyse; display remaining findings and actual checks.</w:t>
            </w:r>
          </w:p>
        </w:tc>
      </w:tr>
      <w:tr>
        <w:tc>
          <w:tcPr>
            <w:tcW w:type="dxa" w:w="2016"/>
            <w:vAlign w:val="center"/>
            <w:shd w:fill="F4F7FA"/>
          </w:tcPr>
          <w:p>
            <w:pPr>
              <w:spacing w:after="20"/>
            </w:pPr>
            <w:r>
              <w:rPr>
                <w:sz w:val="16"/>
              </w:rPr>
              <w:t>Alternatives</w:t>
            </w:r>
          </w:p>
        </w:tc>
        <w:tc>
          <w:tcPr>
            <w:tcW w:type="dxa" w:w="8064"/>
            <w:vAlign w:val="center"/>
            <w:shd w:fill="F4F7FA"/>
          </w:tcPr>
          <w:p>
            <w:pPr>
              <w:spacing w:after="20"/>
            </w:pPr>
            <w:r>
              <w:rPr>
                <w:sz w:val="16"/>
              </w:rPr>
              <w:t>Stale revision, conflict, denied permission, unsafe proposal or failed verification.</w:t>
            </w:r>
          </w:p>
        </w:tc>
      </w:tr>
      <w:tr>
        <w:tc>
          <w:tcPr>
            <w:tcW w:type="dxa" w:w="2016"/>
            <w:vAlign w:val="center"/>
          </w:tcPr>
          <w:p>
            <w:pPr>
              <w:spacing w:after="20"/>
            </w:pPr>
            <w:r>
              <w:rPr>
                <w:sz w:val="16"/>
              </w:rPr>
              <w:t>Postconditions</w:t>
            </w:r>
          </w:p>
        </w:tc>
        <w:tc>
          <w:tcPr>
            <w:tcW w:type="dxa" w:w="8064"/>
            <w:vAlign w:val="center"/>
          </w:tcPr>
          <w:p>
            <w:pPr>
              <w:spacing w:after="20"/>
            </w:pPr>
            <w:r>
              <w:rPr>
                <w:sz w:val="16"/>
              </w:rPr>
              <w:t>Original source preserved; approval/outcome recorded; merge remains user-controlled.</w:t>
            </w:r>
          </w:p>
        </w:tc>
      </w:tr>
    </w:tbl>
    <w:p/>
    <w:p>
      <w:pPr>
        <w:pStyle w:val="Heading2"/>
        <w:keepNext/>
      </w:pPr>
      <w:r>
        <w:t>UC-04 — External AI Fallback</w:t>
      </w:r>
    </w:p>
    <w:tbl>
      <w:tblPr>
        <w:tblStyle w:val="TableGrid"/>
        <w:tblW w:type="auto" w:w="0"/>
        <w:jc w:val="center"/>
        <w:tblLook w:firstColumn="1" w:firstRow="1" w:lastColumn="0" w:lastRow="0" w:noHBand="0" w:noVBand="1" w:val="04A0"/>
      </w:tblPr>
      <w:tblGrid>
        <w:gridCol w:w="5040"/>
        <w:gridCol w:w="5040"/>
      </w:tblGrid>
      <w:tr>
        <w:tc>
          <w:tcPr>
            <w:tcW w:type="dxa" w:w="2016"/>
            <w:shd w:fill="243B53"/>
          </w:tcPr>
          <w:p>
            <w:r>
              <w:rPr>
                <w:b/>
                <w:color w:val="FFFFFF"/>
                <w:sz w:val="16"/>
              </w:rPr>
              <w:t>Field</w:t>
            </w:r>
          </w:p>
        </w:tc>
        <w:tc>
          <w:tcPr>
            <w:tcW w:type="dxa" w:w="8064"/>
            <w:shd w:fill="243B53"/>
          </w:tcPr>
          <w:p>
            <w:r>
              <w:rPr>
                <w:b/>
                <w:color w:val="FFFFFF"/>
                <w:sz w:val="16"/>
              </w:rPr>
              <w:t>Description</w:t>
            </w:r>
          </w:p>
        </w:tc>
      </w:tr>
      <w:tr>
        <w:tc>
          <w:tcPr>
            <w:tcW w:type="dxa" w:w="2016"/>
            <w:vAlign w:val="center"/>
          </w:tcPr>
          <w:p>
            <w:pPr>
              <w:spacing w:after="20"/>
            </w:pPr>
            <w:r>
              <w:rPr>
                <w:sz w:val="16"/>
              </w:rPr>
              <w:t>Actor</w:t>
            </w:r>
          </w:p>
        </w:tc>
        <w:tc>
          <w:tcPr>
            <w:tcW w:type="dxa" w:w="8064"/>
            <w:vAlign w:val="center"/>
          </w:tcPr>
          <w:p>
            <w:pPr>
              <w:spacing w:after="20"/>
            </w:pPr>
            <w:r>
              <w:rPr>
                <w:sz w:val="16"/>
              </w:rPr>
              <w:t>Authorised project user</w:t>
            </w:r>
          </w:p>
        </w:tc>
      </w:tr>
      <w:tr>
        <w:tc>
          <w:tcPr>
            <w:tcW w:type="dxa" w:w="2016"/>
            <w:vAlign w:val="center"/>
            <w:shd w:fill="F4F7FA"/>
          </w:tcPr>
          <w:p>
            <w:pPr>
              <w:spacing w:after="20"/>
            </w:pPr>
            <w:r>
              <w:rPr>
                <w:sz w:val="16"/>
              </w:rPr>
              <w:t>Preconditions</w:t>
            </w:r>
          </w:p>
        </w:tc>
        <w:tc>
          <w:tcPr>
            <w:tcW w:type="dxa" w:w="8064"/>
            <w:vAlign w:val="center"/>
            <w:shd w:fill="F4F7FA"/>
          </w:tcPr>
          <w:p>
            <w:pPr>
              <w:spacing w:after="20"/>
            </w:pPr>
            <w:r>
              <w:rPr>
                <w:sz w:val="16"/>
              </w:rPr>
              <w:t>Local model unavailable; external provider configured.</w:t>
            </w:r>
          </w:p>
        </w:tc>
      </w:tr>
      <w:tr>
        <w:tc>
          <w:tcPr>
            <w:tcW w:type="dxa" w:w="2016"/>
            <w:vAlign w:val="center"/>
          </w:tcPr>
          <w:p>
            <w:pPr>
              <w:spacing w:after="20"/>
            </w:pPr>
            <w:r>
              <w:rPr>
                <w:sz w:val="16"/>
              </w:rPr>
              <w:t>Main flow</w:t>
            </w:r>
          </w:p>
        </w:tc>
        <w:tc>
          <w:tcPr>
            <w:tcW w:type="dxa" w:w="8064"/>
            <w:vAlign w:val="center"/>
          </w:tcPr>
          <w:p>
            <w:pPr>
              <w:spacing w:after="20"/>
            </w:pPr>
            <w:r>
              <w:rPr>
                <w:sz w:val="16"/>
              </w:rPr>
              <w:t>Check privacy permission; request consent if absent; show provider/data/cost details; send only authorised data; record usage and outcome.</w:t>
            </w:r>
          </w:p>
        </w:tc>
      </w:tr>
      <w:tr>
        <w:tc>
          <w:tcPr>
            <w:tcW w:type="dxa" w:w="2016"/>
            <w:vAlign w:val="center"/>
            <w:shd w:fill="F4F7FA"/>
          </w:tcPr>
          <w:p>
            <w:pPr>
              <w:spacing w:after="20"/>
            </w:pPr>
            <w:r>
              <w:rPr>
                <w:sz w:val="16"/>
              </w:rPr>
              <w:t>Alternatives</w:t>
            </w:r>
          </w:p>
        </w:tc>
        <w:tc>
          <w:tcPr>
            <w:tcW w:type="dxa" w:w="8064"/>
            <w:vAlign w:val="center"/>
            <w:shd w:fill="F4F7FA"/>
          </w:tcPr>
          <w:p>
            <w:pPr>
              <w:spacing w:after="20"/>
            </w:pPr>
            <w:r>
              <w:rPr>
                <w:sz w:val="16"/>
              </w:rPr>
              <w:t>Consent declined, budget reached, provider failure or policy prohibits transfer.</w:t>
            </w:r>
          </w:p>
        </w:tc>
      </w:tr>
      <w:tr>
        <w:tc>
          <w:tcPr>
            <w:tcW w:type="dxa" w:w="2016"/>
            <w:vAlign w:val="center"/>
          </w:tcPr>
          <w:p>
            <w:pPr>
              <w:spacing w:after="20"/>
            </w:pPr>
            <w:r>
              <w:rPr>
                <w:sz w:val="16"/>
              </w:rPr>
              <w:t>Postconditions</w:t>
            </w:r>
          </w:p>
        </w:tc>
        <w:tc>
          <w:tcPr>
            <w:tcW w:type="dxa" w:w="8064"/>
            <w:vAlign w:val="center"/>
          </w:tcPr>
          <w:p>
            <w:pPr>
              <w:spacing w:after="20"/>
            </w:pPr>
            <w:r>
              <w:rPr>
                <w:sz w:val="16"/>
              </w:rPr>
              <w:t>No unauthorised transfer; analysis results remain available.</w:t>
            </w:r>
          </w:p>
        </w:tc>
      </w:tr>
    </w:tbl>
    <w:p/>
    <w:p>
      <w:pPr>
        <w:pStyle w:val="Heading1"/>
        <w:keepNext/>
      </w:pPr>
      <w:r>
        <w:t>9. MVP Acceptance Criteria</w:t>
      </w:r>
    </w:p>
    <w:p>
      <w:pPr>
        <w:pStyle w:val="ListBullet"/>
        <w:spacing w:after="40"/>
      </w:pPr>
      <w:r>
        <w:t>User registration/login, email verification, password reset and GitHub OAuth are demonstrated.</w:t>
      </w:r>
    </w:p>
    <w:p>
      <w:pPr>
        <w:pStyle w:val="ListBullet"/>
        <w:spacing w:after="40"/>
      </w:pPr>
      <w:r>
        <w:t>Role permissions and project isolation are enforced by backend tests.</w:t>
      </w:r>
    </w:p>
    <w:p>
      <w:pPr>
        <w:pStyle w:val="ListBullet"/>
        <w:spacing w:after="40"/>
      </w:pPr>
      <w:r>
        <w:t>ZIP limit is enforced and unsafe archive cases are blocked.</w:t>
      </w:r>
    </w:p>
    <w:p>
      <w:pPr>
        <w:pStyle w:val="ListBullet"/>
        <w:spacing w:after="40"/>
      </w:pPr>
      <w:r>
        <w:t>Authorised GitHub repository import works with minimum required permissions.</w:t>
      </w:r>
    </w:p>
    <w:p>
      <w:pPr>
        <w:pStyle w:val="ListBullet"/>
        <w:spacing w:after="40"/>
      </w:pPr>
      <w:r>
        <w:t>Analysis is asynchronous and reports accurate status and partial/failure outcomes.</w:t>
      </w:r>
    </w:p>
    <w:p>
      <w:pPr>
        <w:pStyle w:val="ListBullet"/>
        <w:spacing w:after="40"/>
      </w:pPr>
      <w:r>
        <w:t>Findings are normalised while preserving original engine severity and source metadata.</w:t>
      </w:r>
    </w:p>
    <w:p>
      <w:pPr>
        <w:pStyle w:val="ListBullet"/>
        <w:spacing w:after="40"/>
      </w:pPr>
      <w:r>
        <w:t>Risk scores are deterministic, versioned, explainable and evaluated against labelled examples.</w:t>
      </w:r>
    </w:p>
    <w:p>
      <w:pPr>
        <w:pStyle w:val="ListBullet"/>
        <w:spacing w:after="40"/>
      </w:pPr>
      <w:r>
        <w:t>Users can request grounded beginner/intermediate/advanced explanations.</w:t>
      </w:r>
    </w:p>
    <w:p>
      <w:pPr>
        <w:pStyle w:val="ListBullet"/>
        <w:spacing w:after="40"/>
      </w:pPr>
      <w:r>
        <w:t>Learning hub contains curated material and issue-specific lessons/examples.</w:t>
      </w:r>
    </w:p>
    <w:p>
      <w:pPr>
        <w:pStyle w:val="ListBullet"/>
        <w:spacing w:after="40"/>
      </w:pPr>
      <w:r>
        <w:t>Users can inspect fix rationale and before/after diff before approval.</w:t>
      </w:r>
    </w:p>
    <w:p>
      <w:pPr>
        <w:pStyle w:val="ListBullet"/>
        <w:spacing w:after="40"/>
      </w:pPr>
      <w:r>
        <w:t>GitHub fixes use a separate branch and pull request; no automatic merge occurs.</w:t>
      </w:r>
    </w:p>
    <w:p>
      <w:pPr>
        <w:pStyle w:val="ListBullet"/>
        <w:spacing w:after="40"/>
      </w:pPr>
      <w:r>
        <w:t>ZIP-based fix output is downloadable and does not overwrite original input.</w:t>
      </w:r>
    </w:p>
    <w:p>
      <w:pPr>
        <w:pStyle w:val="ListBullet"/>
        <w:spacing w:after="40"/>
      </w:pPr>
      <w:r>
        <w:t>Re-analysis reports actual checks and remaining findings without false success claims.</w:t>
      </w:r>
    </w:p>
    <w:p>
      <w:pPr>
        <w:pStyle w:val="ListBullet"/>
        <w:spacing w:after="40"/>
      </w:pPr>
      <w:r>
        <w:t>External code transfer is blocked without authorisation and configured cost controls are enforced where supported.</w:t>
      </w:r>
    </w:p>
    <w:p>
      <w:pPr>
        <w:pStyle w:val="ListBullet"/>
        <w:spacing w:after="40"/>
      </w:pPr>
      <w:r>
        <w:t>Conversation cap, four-hour expiry, read-only history and 90-day retention work.</w:t>
      </w:r>
    </w:p>
    <w:p>
      <w:pPr>
        <w:pStyle w:val="ListBullet"/>
        <w:spacing w:after="40"/>
      </w:pPr>
      <w:r>
        <w:t>Source deletion, 90-day report retention and 30-day audit retention are tested.</w:t>
      </w:r>
    </w:p>
    <w:p>
      <w:pPr>
        <w:pStyle w:val="ListBullet"/>
        <w:spacing w:after="40"/>
      </w:pPr>
      <w:r>
        <w:t>Provisional latency targets are measured separately for local and external AI.</w:t>
      </w:r>
    </w:p>
    <w:p>
      <w:pPr>
        <w:pStyle w:val="ListBullet"/>
        <w:spacing w:after="40"/>
      </w:pPr>
      <w:r>
        <w:t>Failures do not silently lose completed findings or misrepresent success.</w:t>
      </w:r>
    </w:p>
    <w:p>
      <w:pPr>
        <w:pStyle w:val="ListBullet"/>
      </w:pPr>
      <w:r>
        <w:t>The Policy Updates page is accessible, explains system behaviour and relevant privacy practices at a high level, lists dated material updates, and excludes confidential formulas and security-sensitive details.</w:t>
      </w:r>
    </w:p>
    <w:p>
      <w:pPr>
        <w:pStyle w:val="Heading1"/>
        <w:keepNext/>
      </w:pPr>
      <w:r>
        <w:t>10. Constraints, Assumptions and Dependencies</w:t>
      </w:r>
    </w:p>
    <w:p>
      <w:pPr>
        <w:pStyle w:val="Heading2"/>
        <w:keepNext/>
      </w:pPr>
      <w:r>
        <w:t>10.1 Constraints</w:t>
      </w:r>
    </w:p>
    <w:p>
      <w:pPr>
        <w:pStyle w:val="ListBullet"/>
        <w:spacing w:after="40"/>
      </w:pPr>
      <w:r>
        <w:t>ZIP limit: 10 MB.</w:t>
      </w:r>
    </w:p>
    <w:p>
      <w:pPr>
        <w:pStyle w:val="ListBullet"/>
        <w:spacing w:after="40"/>
      </w:pPr>
      <w:r>
        <w:t>Target languages: Java, Python, JavaScript, C++, HTML, CSS and TypeScript, subject to verified coverage.</w:t>
      </w:r>
    </w:p>
    <w:p>
      <w:pPr>
        <w:pStyle w:val="ListBullet"/>
        <w:spacing w:after="40"/>
      </w:pPr>
      <w:r>
        <w:t>No automatic merge to base/protected branch.</w:t>
      </w:r>
    </w:p>
    <w:p>
      <w:pPr>
        <w:pStyle w:val="ListBullet"/>
        <w:spacing w:after="40"/>
      </w:pPr>
      <w:r>
        <w:t>No external source-code transfer without authorisation.</w:t>
      </w:r>
    </w:p>
    <w:p>
      <w:pPr>
        <w:pStyle w:val="ListBullet"/>
        <w:spacing w:after="40"/>
      </w:pPr>
      <w:r>
        <w:t>Maximum two active conversations per account; expire after four hours inactive.</w:t>
      </w:r>
    </w:p>
    <w:p>
      <w:pPr>
        <w:pStyle w:val="Heading2"/>
        <w:keepNext/>
      </w:pPr>
      <w:r>
        <w:t>10.2 Assumptions</w:t>
      </w:r>
    </w:p>
    <w:p>
      <w:pPr>
        <w:pStyle w:val="ListBullet"/>
        <w:spacing w:after="40"/>
      </w:pPr>
      <w:r>
        <w:t>Users are authorised to submit the source and request repository access.</w:t>
      </w:r>
    </w:p>
    <w:p>
      <w:pPr>
        <w:pStyle w:val="ListBullet"/>
        <w:spacing w:after="40"/>
      </w:pPr>
      <w:r>
        <w:t>Deployment operators can configure secrets, email delivery, database and model/engine dependencies securely.</w:t>
      </w:r>
    </w:p>
    <w:p>
      <w:pPr>
        <w:pStyle w:val="ListBullet"/>
        <w:spacing w:after="40"/>
      </w:pPr>
      <w:r>
        <w:t>Local model availability/performance varies by deployment; the system handles unavailable states.</w:t>
      </w:r>
    </w:p>
    <w:p>
      <w:pPr>
        <w:pStyle w:val="ListBullet"/>
        <w:spacing w:after="40"/>
      </w:pPr>
      <w:r>
        <w:t>Curated learning material is used lawfully with attribution.</w:t>
      </w:r>
    </w:p>
    <w:p>
      <w:pPr>
        <w:pStyle w:val="Heading2"/>
        <w:keepNext/>
      </w:pPr>
      <w:r>
        <w:t>10.3 Dependencies</w:t>
      </w:r>
    </w:p>
    <w:p>
      <w:pPr>
        <w:pStyle w:val="ListBullet"/>
        <w:spacing w:after="40"/>
      </w:pPr>
      <w:r>
        <w:t>Static analysis engines and language/rule support.</w:t>
      </w:r>
    </w:p>
    <w:p>
      <w:pPr>
        <w:pStyle w:val="ListBullet"/>
        <w:spacing w:after="40"/>
      </w:pPr>
      <w:r>
        <w:t>Local model runtime and model licensing/distribution.</w:t>
      </w:r>
    </w:p>
    <w:p>
      <w:pPr>
        <w:pStyle w:val="ListBullet"/>
        <w:spacing w:after="40"/>
      </w:pPr>
      <w:r>
        <w:t>Optional external LLM provider, billing and data-processing terms.</w:t>
      </w:r>
    </w:p>
    <w:p>
      <w:pPr>
        <w:pStyle w:val="ListBullet"/>
        <w:spacing w:after="40"/>
      </w:pPr>
      <w:r>
        <w:t>GitHub OAuth and repository APIs.</w:t>
      </w:r>
    </w:p>
    <w:p>
      <w:pPr>
        <w:pStyle w:val="ListBullet"/>
        <w:spacing w:after="40"/>
      </w:pPr>
      <w:r>
        <w:t>Email service for verification and password recovery.</w:t>
      </w:r>
    </w:p>
    <w:p>
      <w:r>
        <w:t>Maintain a dependency register containing versions, licences, support status, operational requirements and replacement options.</w:t>
      </w:r>
    </w:p>
    <w:p>
      <w:pPr>
        <w:pStyle w:val="Heading1"/>
        <w:keepNext/>
      </w:pPr>
      <w:r>
        <w:t>11.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243B53"/>
          </w:tcPr>
          <w:p>
            <w:r>
              <w:rPr>
                <w:b/>
                <w:color w:val="FFFFFF"/>
                <w:sz w:val="16"/>
              </w:rPr>
              <w:t>Risk</w:t>
            </w:r>
          </w:p>
        </w:tc>
        <w:tc>
          <w:tcPr>
            <w:tcW w:type="dxa" w:w="1440"/>
            <w:shd w:fill="243B53"/>
          </w:tcPr>
          <w:p>
            <w:r>
              <w:rPr>
                <w:b/>
                <w:color w:val="FFFFFF"/>
                <w:sz w:val="16"/>
              </w:rPr>
              <w:t>Impact</w:t>
            </w:r>
          </w:p>
        </w:tc>
        <w:tc>
          <w:tcPr>
            <w:tcW w:type="dxa" w:w="6192"/>
            <w:shd w:fill="243B53"/>
          </w:tcPr>
          <w:p>
            <w:r>
              <w:rPr>
                <w:b/>
                <w:color w:val="FFFFFF"/>
                <w:sz w:val="16"/>
              </w:rPr>
              <w:t>Mitigation</w:t>
            </w:r>
          </w:p>
        </w:tc>
      </w:tr>
      <w:tr>
        <w:tc>
          <w:tcPr>
            <w:tcW w:type="dxa" w:w="2448"/>
            <w:vAlign w:val="center"/>
          </w:tcPr>
          <w:p>
            <w:pPr>
              <w:spacing w:after="20"/>
            </w:pPr>
            <w:r>
              <w:rPr>
                <w:sz w:val="16"/>
              </w:rPr>
              <w:t>Provider lock-in</w:t>
            </w:r>
          </w:p>
        </w:tc>
        <w:tc>
          <w:tcPr>
            <w:tcW w:type="dxa" w:w="1440"/>
            <w:vAlign w:val="center"/>
          </w:tcPr>
          <w:p>
            <w:pPr>
              <w:spacing w:after="20"/>
            </w:pPr>
            <w:r>
              <w:rPr>
                <w:sz w:val="16"/>
              </w:rPr>
              <w:t>High</w:t>
            </w:r>
          </w:p>
        </w:tc>
        <w:tc>
          <w:tcPr>
            <w:tcW w:type="dxa" w:w="6192"/>
            <w:vAlign w:val="center"/>
          </w:tcPr>
          <w:p>
            <w:pPr>
              <w:spacing w:after="20"/>
            </w:pPr>
            <w:r>
              <w:rPr>
                <w:sz w:val="16"/>
              </w:rPr>
              <w:t>Adapters, internal schema, contract tests, custom rules and replacement roadmap.</w:t>
            </w:r>
          </w:p>
        </w:tc>
      </w:tr>
      <w:tr>
        <w:tc>
          <w:tcPr>
            <w:tcW w:type="dxa" w:w="2448"/>
            <w:vAlign w:val="center"/>
            <w:shd w:fill="F4F7FA"/>
          </w:tcPr>
          <w:p>
            <w:pPr>
              <w:spacing w:after="20"/>
            </w:pPr>
            <w:r>
              <w:rPr>
                <w:sz w:val="16"/>
              </w:rPr>
              <w:t>Uneven language coverage</w:t>
            </w:r>
          </w:p>
        </w:tc>
        <w:tc>
          <w:tcPr>
            <w:tcW w:type="dxa" w:w="1440"/>
            <w:vAlign w:val="center"/>
            <w:shd w:fill="F4F7FA"/>
          </w:tcPr>
          <w:p>
            <w:pPr>
              <w:spacing w:after="20"/>
            </w:pPr>
            <w:r>
              <w:rPr>
                <w:sz w:val="16"/>
              </w:rPr>
              <w:t>High</w:t>
            </w:r>
          </w:p>
        </w:tc>
        <w:tc>
          <w:tcPr>
            <w:tcW w:type="dxa" w:w="6192"/>
            <w:vAlign w:val="center"/>
            <w:shd w:fill="F4F7FA"/>
          </w:tcPr>
          <w:p>
            <w:pPr>
              <w:spacing w:after="20"/>
            </w:pPr>
            <w:r>
              <w:rPr>
                <w:sz w:val="16"/>
              </w:rPr>
              <w:t>Evaluate each language/rule family and disclose partial coverage.</w:t>
            </w:r>
          </w:p>
        </w:tc>
      </w:tr>
      <w:tr>
        <w:tc>
          <w:tcPr>
            <w:tcW w:type="dxa" w:w="2448"/>
            <w:vAlign w:val="center"/>
          </w:tcPr>
          <w:p>
            <w:pPr>
              <w:spacing w:after="20"/>
            </w:pPr>
            <w:r>
              <w:rPr>
                <w:sz w:val="16"/>
              </w:rPr>
              <w:t>Incorrect AI output</w:t>
            </w:r>
          </w:p>
        </w:tc>
        <w:tc>
          <w:tcPr>
            <w:tcW w:type="dxa" w:w="1440"/>
            <w:vAlign w:val="center"/>
          </w:tcPr>
          <w:p>
            <w:pPr>
              <w:spacing w:after="20"/>
            </w:pPr>
            <w:r>
              <w:rPr>
                <w:sz w:val="16"/>
              </w:rPr>
              <w:t>High</w:t>
            </w:r>
          </w:p>
        </w:tc>
        <w:tc>
          <w:tcPr>
            <w:tcW w:type="dxa" w:w="6192"/>
            <w:vAlign w:val="center"/>
          </w:tcPr>
          <w:p>
            <w:pPr>
              <w:spacing w:after="20"/>
            </w:pPr>
            <w:r>
              <w:rPr>
                <w:sz w:val="16"/>
              </w:rPr>
              <w:t>Ground responses, label uncertainty, show diffs, require approval and re-analyse.</w:t>
            </w:r>
          </w:p>
        </w:tc>
      </w:tr>
      <w:tr>
        <w:tc>
          <w:tcPr>
            <w:tcW w:type="dxa" w:w="2448"/>
            <w:vAlign w:val="center"/>
            <w:shd w:fill="F4F7FA"/>
          </w:tcPr>
          <w:p>
            <w:pPr>
              <w:spacing w:after="20"/>
            </w:pPr>
            <w:r>
              <w:rPr>
                <w:sz w:val="16"/>
              </w:rPr>
              <w:t>Poor risk ranking</w:t>
            </w:r>
          </w:p>
        </w:tc>
        <w:tc>
          <w:tcPr>
            <w:tcW w:type="dxa" w:w="1440"/>
            <w:vAlign w:val="center"/>
            <w:shd w:fill="F4F7FA"/>
          </w:tcPr>
          <w:p>
            <w:pPr>
              <w:spacing w:after="20"/>
            </w:pPr>
            <w:r>
              <w:rPr>
                <w:sz w:val="16"/>
              </w:rPr>
              <w:t>High</w:t>
            </w:r>
          </w:p>
        </w:tc>
        <w:tc>
          <w:tcPr>
            <w:tcW w:type="dxa" w:w="6192"/>
            <w:vAlign w:val="center"/>
            <w:shd w:fill="F4F7FA"/>
          </w:tcPr>
          <w:p>
            <w:pPr>
              <w:spacing w:after="20"/>
            </w:pPr>
            <w:r>
              <w:rPr>
                <w:sz w:val="16"/>
              </w:rPr>
              <w:t>Labelled evaluation, ranking metrics, calibration, versioning and expert review.</w:t>
            </w:r>
          </w:p>
        </w:tc>
      </w:tr>
      <w:tr>
        <w:tc>
          <w:tcPr>
            <w:tcW w:type="dxa" w:w="2448"/>
            <w:vAlign w:val="center"/>
          </w:tcPr>
          <w:p>
            <w:pPr>
              <w:spacing w:after="20"/>
            </w:pPr>
            <w:r>
              <w:rPr>
                <w:sz w:val="16"/>
              </w:rPr>
              <w:t>Unauthorised source transfer</w:t>
            </w:r>
          </w:p>
        </w:tc>
        <w:tc>
          <w:tcPr>
            <w:tcW w:type="dxa" w:w="1440"/>
            <w:vAlign w:val="center"/>
          </w:tcPr>
          <w:p>
            <w:pPr>
              <w:spacing w:after="20"/>
            </w:pPr>
            <w:r>
              <w:rPr>
                <w:sz w:val="16"/>
              </w:rPr>
              <w:t>High</w:t>
            </w:r>
          </w:p>
        </w:tc>
        <w:tc>
          <w:tcPr>
            <w:tcW w:type="dxa" w:w="6192"/>
            <w:vAlign w:val="center"/>
          </w:tcPr>
          <w:p>
            <w:pPr>
              <w:spacing w:after="20"/>
            </w:pPr>
            <w:r>
              <w:rPr>
                <w:sz w:val="16"/>
              </w:rPr>
              <w:t>Consent enforcement, project policy, data minimisation and audit.</w:t>
            </w:r>
          </w:p>
        </w:tc>
      </w:tr>
      <w:tr>
        <w:tc>
          <w:tcPr>
            <w:tcW w:type="dxa" w:w="2448"/>
            <w:vAlign w:val="center"/>
            <w:shd w:fill="F4F7FA"/>
          </w:tcPr>
          <w:p>
            <w:pPr>
              <w:spacing w:after="20"/>
            </w:pPr>
            <w:r>
              <w:rPr>
                <w:sz w:val="16"/>
              </w:rPr>
              <w:t>Unexpected API cost</w:t>
            </w:r>
          </w:p>
        </w:tc>
        <w:tc>
          <w:tcPr>
            <w:tcW w:type="dxa" w:w="1440"/>
            <w:vAlign w:val="center"/>
            <w:shd w:fill="F4F7FA"/>
          </w:tcPr>
          <w:p>
            <w:pPr>
              <w:spacing w:after="20"/>
            </w:pPr>
            <w:r>
              <w:rPr>
                <w:sz w:val="16"/>
              </w:rPr>
              <w:t>Medium/High</w:t>
            </w:r>
          </w:p>
        </w:tc>
        <w:tc>
          <w:tcPr>
            <w:tcW w:type="dxa" w:w="6192"/>
            <w:vAlign w:val="center"/>
            <w:shd w:fill="F4F7FA"/>
          </w:tcPr>
          <w:p>
            <w:pPr>
              <w:spacing w:after="20"/>
            </w:pPr>
            <w:r>
              <w:rPr>
                <w:sz w:val="16"/>
              </w:rPr>
              <w:t>Provider/cost transparency, usage tracking, configured budgets and stop-on-limit.</w:t>
            </w:r>
          </w:p>
        </w:tc>
      </w:tr>
      <w:tr>
        <w:tc>
          <w:tcPr>
            <w:tcW w:type="dxa" w:w="2448"/>
            <w:vAlign w:val="center"/>
          </w:tcPr>
          <w:p>
            <w:pPr>
              <w:spacing w:after="20"/>
            </w:pPr>
            <w:r>
              <w:rPr>
                <w:sz w:val="16"/>
              </w:rPr>
              <w:t>Unsafe archive</w:t>
            </w:r>
          </w:p>
        </w:tc>
        <w:tc>
          <w:tcPr>
            <w:tcW w:type="dxa" w:w="1440"/>
            <w:vAlign w:val="center"/>
          </w:tcPr>
          <w:p>
            <w:pPr>
              <w:spacing w:after="20"/>
            </w:pPr>
            <w:r>
              <w:rPr>
                <w:sz w:val="16"/>
              </w:rPr>
              <w:t>High</w:t>
            </w:r>
          </w:p>
        </w:tc>
        <w:tc>
          <w:tcPr>
            <w:tcW w:type="dxa" w:w="6192"/>
            <w:vAlign w:val="center"/>
          </w:tcPr>
          <w:p>
            <w:pPr>
              <w:spacing w:after="20"/>
            </w:pPr>
            <w:r>
              <w:rPr>
                <w:sz w:val="16"/>
              </w:rPr>
              <w:t>Path validation, expansion/resource limits and malicious archive tests.</w:t>
            </w:r>
          </w:p>
        </w:tc>
      </w:tr>
      <w:tr>
        <w:tc>
          <w:tcPr>
            <w:tcW w:type="dxa" w:w="2448"/>
            <w:vAlign w:val="center"/>
            <w:shd w:fill="F4F7FA"/>
          </w:tcPr>
          <w:p>
            <w:pPr>
              <w:spacing w:after="20"/>
            </w:pPr>
            <w:r>
              <w:rPr>
                <w:sz w:val="16"/>
              </w:rPr>
              <w:t>Stale fix</w:t>
            </w:r>
          </w:p>
        </w:tc>
        <w:tc>
          <w:tcPr>
            <w:tcW w:type="dxa" w:w="1440"/>
            <w:vAlign w:val="center"/>
            <w:shd w:fill="F4F7FA"/>
          </w:tcPr>
          <w:p>
            <w:pPr>
              <w:spacing w:after="20"/>
            </w:pPr>
            <w:r>
              <w:rPr>
                <w:sz w:val="16"/>
              </w:rPr>
              <w:t>High</w:t>
            </w:r>
          </w:p>
        </w:tc>
        <w:tc>
          <w:tcPr>
            <w:tcW w:type="dxa" w:w="6192"/>
            <w:vAlign w:val="center"/>
            <w:shd w:fill="F4F7FA"/>
          </w:tcPr>
          <w:p>
            <w:pPr>
              <w:spacing w:after="20"/>
            </w:pPr>
            <w:r>
              <w:rPr>
                <w:sz w:val="16"/>
              </w:rPr>
              <w:t>Record source revision, check conflicts and require renewed approval.</w:t>
            </w:r>
          </w:p>
        </w:tc>
      </w:tr>
      <w:tr>
        <w:tc>
          <w:tcPr>
            <w:tcW w:type="dxa" w:w="2448"/>
            <w:vAlign w:val="center"/>
          </w:tcPr>
          <w:p>
            <w:pPr>
              <w:spacing w:after="20"/>
            </w:pPr>
            <w:r>
              <w:rPr>
                <w:sz w:val="16"/>
              </w:rPr>
              <w:t>Slow/unavailable local model</w:t>
            </w:r>
          </w:p>
        </w:tc>
        <w:tc>
          <w:tcPr>
            <w:tcW w:type="dxa" w:w="1440"/>
            <w:vAlign w:val="center"/>
          </w:tcPr>
          <w:p>
            <w:pPr>
              <w:spacing w:after="20"/>
            </w:pPr>
            <w:r>
              <w:rPr>
                <w:sz w:val="16"/>
              </w:rPr>
              <w:t>Medium/High</w:t>
            </w:r>
          </w:p>
        </w:tc>
        <w:tc>
          <w:tcPr>
            <w:tcW w:type="dxa" w:w="6192"/>
            <w:vAlign w:val="center"/>
          </w:tcPr>
          <w:p>
            <w:pPr>
              <w:spacing w:after="20"/>
            </w:pPr>
            <w:r>
              <w:rPr>
                <w:sz w:val="16"/>
              </w:rPr>
              <w:t>Compatibility registry, separate benchmarks, progress and graceful degradation.</w:t>
            </w:r>
          </w:p>
        </w:tc>
      </w:tr>
      <w:tr>
        <w:tc>
          <w:tcPr>
            <w:tcW w:type="dxa" w:w="2448"/>
            <w:vAlign w:val="center"/>
            <w:shd w:fill="F4F7FA"/>
          </w:tcPr>
          <w:p>
            <w:pPr>
              <w:spacing w:after="20"/>
            </w:pPr>
            <w:r>
              <w:rPr>
                <w:sz w:val="16"/>
              </w:rPr>
              <w:t>Retention mismatch</w:t>
            </w:r>
          </w:p>
        </w:tc>
        <w:tc>
          <w:tcPr>
            <w:tcW w:type="dxa" w:w="1440"/>
            <w:vAlign w:val="center"/>
            <w:shd w:fill="F4F7FA"/>
          </w:tcPr>
          <w:p>
            <w:pPr>
              <w:spacing w:after="20"/>
            </w:pPr>
            <w:r>
              <w:rPr>
                <w:sz w:val="16"/>
              </w:rPr>
              <w:t>High</w:t>
            </w:r>
          </w:p>
        </w:tc>
        <w:tc>
          <w:tcPr>
            <w:tcW w:type="dxa" w:w="6192"/>
            <w:vAlign w:val="center"/>
            <w:shd w:fill="F4F7FA"/>
          </w:tcPr>
          <w:p>
            <w:pPr>
              <w:spacing w:after="20"/>
            </w:pPr>
            <w:r>
              <w:rPr>
                <w:sz w:val="16"/>
              </w:rPr>
              <w:t>Separate data categories, deletion jobs, lifecycle tests and backup policy.</w:t>
            </w:r>
          </w:p>
        </w:tc>
      </w:tr>
    </w:tbl>
    <w:p/>
    <w:p>
      <w:pPr>
        <w:pStyle w:val="Heading1"/>
        <w:keepNext/>
      </w:pPr>
      <w:r>
        <w:t>12. Technical Evaluation Plan</w:t>
      </w:r>
    </w:p>
    <w:p>
      <w:pPr>
        <w:pStyle w:val="Heading2"/>
        <w:keepNext/>
      </w:pPr>
      <w:r>
        <w:t>12.1 Static Analysis Engine</w:t>
      </w:r>
    </w:p>
    <w:p>
      <w:r>
        <w:t>Compare candidate engines on representative code for all seven target languages. Evaluate language support, rule coverage, finding quality, false positives, metadata, integration effort, licensing, resource use, security posture, update cadence and replaceability. Record exact versions.</w:t>
      </w:r>
    </w:p>
    <w:p>
      <w:pPr>
        <w:pStyle w:val="Heading2"/>
        <w:keepNext/>
      </w:pPr>
      <w:r>
        <w:t>12.2 Local LLM</w:t>
      </w:r>
    </w:p>
    <w:p>
      <w:r>
        <w:t>Benchmark candidate models on labelled explanation and fix tasks. Measure factual grounding, explanation usefulness across experience levels, fix correctness, unsupported claims, latency, resource use, throughput, licence and operational complexity. Select the default only after reviewing results.</w:t>
      </w:r>
    </w:p>
    <w:p>
      <w:pPr>
        <w:pStyle w:val="Heading2"/>
        <w:keepNext/>
      </w:pPr>
      <w:r>
        <w:t>12.3 Risk Model</w:t>
      </w:r>
    </w:p>
    <w:p>
      <w:r>
        <w:t>Create labelled, expert-reviewed examples and a prioritisation target. Compare candidate scoring methods using suitable ranking measures (such as precision among top-ranked findings, recall of critical findings and ranking stability). Assess calibration where probabilities are used. Document correlated factors, missing evidence, limitations and model version.</w:t>
      </w:r>
    </w:p>
    <w:p>
      <w:pPr>
        <w:pStyle w:val="Heading2"/>
        <w:keepNext/>
      </w:pPr>
      <w:r>
        <w:t>12.4 Performance and Usability</w:t>
      </w:r>
    </w:p>
    <w:p>
      <w:r>
        <w:t>Measure UI responsiveness, API latency, dashboard rendering, first AI output and complete AI response. Use p50/p95/p99 where appropriate. Record hardware, concurrency, repository size, language mix, engine/model version and network conditions. Test status visibility, error recovery and user understanding of proposed versus verified fixes.</w:t>
      </w:r>
    </w:p>
    <w:p>
      <w:pPr>
        <w:pStyle w:val="Heading2"/>
        <w:keepNext/>
      </w:pPr>
      <w:r>
        <w:t>12.5 Security and Privacy</w:t>
      </w:r>
    </w:p>
    <w:p>
      <w:pPr>
        <w:pStyle w:val="ListBullet"/>
        <w:spacing w:after="40"/>
      </w:pPr>
      <w:r>
        <w:t>Test permissions, direct API access and cross-project isolation.</w:t>
      </w:r>
    </w:p>
    <w:p>
      <w:pPr>
        <w:pStyle w:val="ListBullet"/>
        <w:spacing w:after="40"/>
      </w:pPr>
      <w:r>
        <w:t>Test archive traversal, expansion bombs, malformed archives and resource exhaustion.</w:t>
      </w:r>
    </w:p>
    <w:p>
      <w:pPr>
        <w:pStyle w:val="ListBullet"/>
        <w:spacing w:after="40"/>
      </w:pPr>
      <w:r>
        <w:t>Test GitHub permission revocation, stale revisions, conflicts and pull-request failures.</w:t>
      </w:r>
    </w:p>
    <w:p>
      <w:pPr>
        <w:pStyle w:val="ListBullet"/>
        <w:spacing w:after="40"/>
      </w:pPr>
      <w:r>
        <w:t>Test external consent, disabled external processing, spending limits and audit records.</w:t>
      </w:r>
    </w:p>
    <w:p>
      <w:pPr>
        <w:pStyle w:val="ListBullet"/>
        <w:spacing w:after="40"/>
      </w:pPr>
      <w:r>
        <w:t>Test source/report/conversation/log retention including retry/failure paths.</w:t>
      </w:r>
    </w:p>
    <w:p>
      <w:pPr>
        <w:pStyle w:val="ListBullet"/>
        <w:spacing w:after="40"/>
      </w:pPr>
      <w:r>
        <w:t>Review secret handling, logs, backups and deployment settings.</w:t>
      </w:r>
    </w:p>
    <w:p>
      <w:pPr>
        <w:pStyle w:val="Heading1"/>
        <w:keepNext/>
      </w:pPr>
      <w:r>
        <w:t>13. Traceability and Open Items</w:t>
      </w:r>
    </w:p>
    <w:p>
      <w:pPr>
        <w:pStyle w:val="Heading2"/>
        <w:keepNext/>
      </w:pPr>
      <w:r>
        <w:t>13.1 Agreed Decisions</w:t>
      </w:r>
    </w:p>
    <w:tbl>
      <w:tblPr>
        <w:tblStyle w:val="TableGrid"/>
        <w:tblW w:type="auto" w:w="0"/>
        <w:jc w:val="center"/>
        <w:tblLook w:firstColumn="1" w:firstRow="1" w:lastColumn="0" w:lastRow="0" w:noHBand="0" w:noVBand="1" w:val="04A0"/>
      </w:tblPr>
      <w:tblGrid>
        <w:gridCol w:w="5040"/>
        <w:gridCol w:w="5040"/>
      </w:tblGrid>
      <w:tr>
        <w:tc>
          <w:tcPr>
            <w:tcW w:type="dxa" w:w="2088"/>
            <w:shd w:fill="243B53"/>
          </w:tcPr>
          <w:p>
            <w:r>
              <w:rPr>
                <w:b/>
                <w:color w:val="FFFFFF"/>
                <w:sz w:val="16"/>
              </w:rPr>
              <w:t>Area</w:t>
            </w:r>
          </w:p>
        </w:tc>
        <w:tc>
          <w:tcPr>
            <w:tcW w:type="dxa" w:w="7992"/>
            <w:shd w:fill="243B53"/>
          </w:tcPr>
          <w:p>
            <w:r>
              <w:rPr>
                <w:b/>
                <w:color w:val="FFFFFF"/>
                <w:sz w:val="16"/>
              </w:rPr>
              <w:t>Agreed baseline</w:t>
            </w:r>
          </w:p>
        </w:tc>
      </w:tr>
      <w:tr>
        <w:tc>
          <w:tcPr>
            <w:tcW w:type="dxa" w:w="2088"/>
            <w:vAlign w:val="center"/>
          </w:tcPr>
          <w:p>
            <w:pPr>
              <w:spacing w:after="20"/>
            </w:pPr>
            <w:r>
              <w:rPr>
                <w:sz w:val="16"/>
              </w:rPr>
              <w:t>Analysis</w:t>
            </w:r>
          </w:p>
        </w:tc>
        <w:tc>
          <w:tcPr>
            <w:tcW w:type="dxa" w:w="7992"/>
            <w:vAlign w:val="center"/>
          </w:tcPr>
          <w:p>
            <w:pPr>
              <w:spacing w:after="20"/>
            </w:pPr>
            <w:r>
              <w:rPr>
                <w:sz w:val="16"/>
              </w:rPr>
              <w:t>Own orchestration, normalisation, custom rules and scoring over replaceable engines.</w:t>
            </w:r>
          </w:p>
        </w:tc>
      </w:tr>
      <w:tr>
        <w:tc>
          <w:tcPr>
            <w:tcW w:type="dxa" w:w="2088"/>
            <w:vAlign w:val="center"/>
            <w:shd w:fill="F4F7FA"/>
          </w:tcPr>
          <w:p>
            <w:pPr>
              <w:spacing w:after="20"/>
            </w:pPr>
            <w:r>
              <w:rPr>
                <w:sz w:val="16"/>
              </w:rPr>
              <w:t>LLM</w:t>
            </w:r>
          </w:p>
        </w:tc>
        <w:tc>
          <w:tcPr>
            <w:tcW w:type="dxa" w:w="7992"/>
            <w:vAlign w:val="center"/>
            <w:shd w:fill="F4F7FA"/>
          </w:tcPr>
          <w:p>
            <w:pPr>
              <w:spacing w:after="20"/>
            </w:pPr>
            <w:r>
              <w:rPr>
                <w:sz w:val="16"/>
              </w:rPr>
              <w:t>Configurable local model registry, compatibility checks and benchmark-based default; authorised external fallback.</w:t>
            </w:r>
          </w:p>
        </w:tc>
      </w:tr>
      <w:tr>
        <w:tc>
          <w:tcPr>
            <w:tcW w:type="dxa" w:w="2088"/>
            <w:vAlign w:val="center"/>
          </w:tcPr>
          <w:p>
            <w:pPr>
              <w:spacing w:after="20"/>
            </w:pPr>
            <w:r>
              <w:rPr>
                <w:sz w:val="16"/>
              </w:rPr>
              <w:t>Learning</w:t>
            </w:r>
          </w:p>
        </w:tc>
        <w:tc>
          <w:tcPr>
            <w:tcW w:type="dxa" w:w="7992"/>
            <w:vAlign w:val="center"/>
          </w:tcPr>
          <w:p>
            <w:pPr>
              <w:spacing w:after="20"/>
            </w:pPr>
            <w:r>
              <w:rPr>
                <w:sz w:val="16"/>
              </w:rPr>
              <w:t>Adaptive levels; issue-specific lessons plus curated learning hub; progress tracking.</w:t>
            </w:r>
          </w:p>
        </w:tc>
      </w:tr>
      <w:tr>
        <w:tc>
          <w:tcPr>
            <w:tcW w:type="dxa" w:w="2088"/>
            <w:vAlign w:val="center"/>
            <w:shd w:fill="F4F7FA"/>
          </w:tcPr>
          <w:p>
            <w:pPr>
              <w:spacing w:after="20"/>
            </w:pPr>
            <w:r>
              <w:rPr>
                <w:sz w:val="16"/>
              </w:rPr>
              <w:t>Risk</w:t>
            </w:r>
          </w:p>
        </w:tc>
        <w:tc>
          <w:tcPr>
            <w:tcW w:type="dxa" w:w="7992"/>
            <w:vAlign w:val="center"/>
            <w:shd w:fill="F4F7FA"/>
          </w:tcPr>
          <w:p>
            <w:pPr>
              <w:spacing w:after="20"/>
            </w:pPr>
            <w:r>
              <w:rPr>
                <w:sz w:val="16"/>
              </w:rPr>
              <w:t>Deterministic, versioned, evidence-based hybrid score evaluated against labelled examples.</w:t>
            </w:r>
          </w:p>
        </w:tc>
      </w:tr>
      <w:tr>
        <w:tc>
          <w:tcPr>
            <w:tcW w:type="dxa" w:w="2088"/>
            <w:vAlign w:val="center"/>
          </w:tcPr>
          <w:p>
            <w:pPr>
              <w:spacing w:after="20"/>
            </w:pPr>
            <w:r>
              <w:rPr>
                <w:sz w:val="16"/>
              </w:rPr>
              <w:t>Fixes</w:t>
            </w:r>
          </w:p>
        </w:tc>
        <w:tc>
          <w:tcPr>
            <w:tcW w:type="dxa" w:w="7992"/>
            <w:vAlign w:val="center"/>
          </w:tcPr>
          <w:p>
            <w:pPr>
              <w:spacing w:after="20"/>
            </w:pPr>
            <w:r>
              <w:rPr>
                <w:sz w:val="16"/>
              </w:rPr>
              <w:t>Approval, diff, separate branch/working copy, PR or ZIP; user controls merge.</w:t>
            </w:r>
          </w:p>
        </w:tc>
      </w:tr>
      <w:tr>
        <w:tc>
          <w:tcPr>
            <w:tcW w:type="dxa" w:w="2088"/>
            <w:vAlign w:val="center"/>
            <w:shd w:fill="F4F7FA"/>
          </w:tcPr>
          <w:p>
            <w:pPr>
              <w:spacing w:after="20"/>
            </w:pPr>
            <w:r>
              <w:rPr>
                <w:sz w:val="16"/>
              </w:rPr>
              <w:t>Retention</w:t>
            </w:r>
          </w:p>
        </w:tc>
        <w:tc>
          <w:tcPr>
            <w:tcW w:type="dxa" w:w="7992"/>
            <w:vAlign w:val="center"/>
            <w:shd w:fill="F4F7FA"/>
          </w:tcPr>
          <w:p>
            <w:pPr>
              <w:spacing w:after="20"/>
            </w:pPr>
            <w:r>
              <w:rPr>
                <w:sz w:val="16"/>
              </w:rPr>
              <w:t>Source until project deletion; reports 90 days; expired conversations 90 days; audit logs 30 days.</w:t>
            </w:r>
          </w:p>
        </w:tc>
      </w:tr>
      <w:tr>
        <w:tc>
          <w:tcPr>
            <w:tcW w:type="dxa" w:w="2088"/>
            <w:vAlign w:val="center"/>
          </w:tcPr>
          <w:p>
            <w:pPr>
              <w:spacing w:after="20"/>
            </w:pPr>
            <w:r>
              <w:rPr>
                <w:sz w:val="16"/>
              </w:rPr>
              <w:t>Conversations</w:t>
            </w:r>
          </w:p>
        </w:tc>
        <w:tc>
          <w:tcPr>
            <w:tcW w:type="dxa" w:w="7992"/>
            <w:vAlign w:val="center"/>
          </w:tcPr>
          <w:p>
            <w:pPr>
              <w:spacing w:after="20"/>
            </w:pPr>
            <w:r>
              <w:rPr>
                <w:sz w:val="16"/>
              </w:rPr>
              <w:t>Two active per account; four-hour inactivity expiry; read-only expired history.</w:t>
            </w:r>
          </w:p>
        </w:tc>
      </w:tr>
      <w:tr>
        <w:tc>
          <w:tcPr>
            <w:tcW w:type="dxa" w:w="2088"/>
            <w:vAlign w:val="center"/>
            <w:shd w:fill="F4F7FA"/>
          </w:tcPr>
          <w:p>
            <w:pPr>
              <w:spacing w:after="20"/>
            </w:pPr>
            <w:r>
              <w:rPr>
                <w:sz w:val="16"/>
              </w:rPr>
              <w:t>Latency</w:t>
            </w:r>
          </w:p>
        </w:tc>
        <w:tc>
          <w:tcPr>
            <w:tcW w:type="dxa" w:w="7992"/>
            <w:vAlign w:val="center"/>
            <w:shd w:fill="F4F7FA"/>
          </w:tcPr>
          <w:p>
            <w:pPr>
              <w:spacing w:after="20"/>
            </w:pPr>
            <w:r>
              <w:rPr>
                <w:sz w:val="16"/>
              </w:rPr>
              <w:t>Provisional usability-driven targets in Section 7; benchmark and revise with evidence.</w:t>
            </w:r>
          </w:p>
        </w:tc>
      </w:tr>
      <w:tr>
        <w:tc>
          <w:tcPr>
            <w:tcW w:type="dxa" w:w="2088"/>
            <w:vAlign w:val="center"/>
          </w:tcPr>
          <w:p>
            <w:pPr>
              <w:spacing w:after="20"/>
            </w:pPr>
            <w:r>
              <w:rPr>
                <w:sz w:val="16"/>
              </w:rPr>
              <w:t>Security</w:t>
            </w:r>
          </w:p>
        </w:tc>
        <w:tc>
          <w:tcPr>
            <w:tcW w:type="dxa" w:w="7992"/>
            <w:vAlign w:val="center"/>
          </w:tcPr>
          <w:p>
            <w:pPr>
              <w:spacing w:after="20"/>
            </w:pPr>
            <w:r>
              <w:rPr>
                <w:sz w:val="16"/>
              </w:rPr>
              <w:t>10 MB ZIP limit, archive/resource protections, secret detection and least-privilege GitHub access.</w:t>
            </w:r>
          </w:p>
        </w:tc>
      </w:tr>
    </w:tbl>
    <w:p/>
    <w:p>
      <w:pPr>
        <w:pStyle w:val="Heading2"/>
        <w:keepNext/>
      </w:pPr>
      <w:r>
        <w:t>13.2 Pending Technical Evaluations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243B53"/>
          </w:tcPr>
          <w:p>
            <w:r>
              <w:rPr>
                <w:b/>
                <w:color w:val="FFFFFF"/>
                <w:sz w:val="16"/>
              </w:rPr>
              <w:t>Item</w:t>
            </w:r>
          </w:p>
        </w:tc>
        <w:tc>
          <w:tcPr>
            <w:tcW w:type="dxa" w:w="4968"/>
            <w:shd w:fill="243B53"/>
          </w:tcPr>
          <w:p>
            <w:r>
              <w:rPr>
                <w:b/>
                <w:color w:val="FFFFFF"/>
                <w:sz w:val="16"/>
              </w:rPr>
              <w:t>Remaining work</w:t>
            </w:r>
          </w:p>
        </w:tc>
        <w:tc>
          <w:tcPr>
            <w:tcW w:type="dxa" w:w="3312"/>
            <w:shd w:fill="243B53"/>
          </w:tcPr>
          <w:p>
            <w:r>
              <w:rPr>
                <w:b/>
                <w:color w:val="FFFFFF"/>
                <w:sz w:val="16"/>
              </w:rPr>
              <w:t>Required output</w:t>
            </w:r>
          </w:p>
        </w:tc>
      </w:tr>
      <w:tr>
        <w:tc>
          <w:tcPr>
            <w:tcW w:type="dxa" w:w="1800"/>
            <w:vAlign w:val="center"/>
          </w:tcPr>
          <w:p>
            <w:pPr>
              <w:spacing w:after="20"/>
            </w:pPr>
            <w:r>
              <w:rPr>
                <w:sz w:val="16"/>
              </w:rPr>
              <w:t>Analysis engine</w:t>
            </w:r>
          </w:p>
        </w:tc>
        <w:tc>
          <w:tcPr>
            <w:tcW w:type="dxa" w:w="4968"/>
            <w:vAlign w:val="center"/>
          </w:tcPr>
          <w:p>
            <w:pPr>
              <w:spacing w:after="20"/>
            </w:pPr>
            <w:r>
              <w:rPr>
                <w:sz w:val="16"/>
              </w:rPr>
              <w:t>Select exact engine/version/config; verify seven-language coverage and licence.</w:t>
            </w:r>
          </w:p>
        </w:tc>
        <w:tc>
          <w:tcPr>
            <w:tcW w:type="dxa" w:w="3312"/>
            <w:vAlign w:val="center"/>
          </w:tcPr>
          <w:p>
            <w:pPr>
              <w:spacing w:after="20"/>
            </w:pPr>
            <w:r>
              <w:rPr>
                <w:sz w:val="16"/>
              </w:rPr>
              <w:t>Comparison report and configuration.</w:t>
            </w:r>
          </w:p>
        </w:tc>
      </w:tr>
      <w:tr>
        <w:tc>
          <w:tcPr>
            <w:tcW w:type="dxa" w:w="1800"/>
            <w:vAlign w:val="center"/>
            <w:shd w:fill="F4F7FA"/>
          </w:tcPr>
          <w:p>
            <w:pPr>
              <w:spacing w:after="20"/>
            </w:pPr>
            <w:r>
              <w:rPr>
                <w:sz w:val="16"/>
              </w:rPr>
              <w:t>Local LLM</w:t>
            </w:r>
          </w:p>
        </w:tc>
        <w:tc>
          <w:tcPr>
            <w:tcW w:type="dxa" w:w="4968"/>
            <w:vAlign w:val="center"/>
            <w:shd w:fill="F4F7FA"/>
          </w:tcPr>
          <w:p>
            <w:pPr>
              <w:spacing w:after="20"/>
            </w:pPr>
            <w:r>
              <w:rPr>
                <w:sz w:val="16"/>
              </w:rPr>
              <w:t>Choose model/version/quantisation and deployment profile using quality/resource measurements.</w:t>
            </w:r>
          </w:p>
        </w:tc>
        <w:tc>
          <w:tcPr>
            <w:tcW w:type="dxa" w:w="3312"/>
            <w:vAlign w:val="center"/>
            <w:shd w:fill="F4F7FA"/>
          </w:tcPr>
          <w:p>
            <w:pPr>
              <w:spacing w:after="20"/>
            </w:pPr>
            <w:r>
              <w:rPr>
                <w:sz w:val="16"/>
              </w:rPr>
              <w:t>Benchmark report and registry entry.</w:t>
            </w:r>
          </w:p>
        </w:tc>
      </w:tr>
      <w:tr>
        <w:tc>
          <w:tcPr>
            <w:tcW w:type="dxa" w:w="1800"/>
            <w:vAlign w:val="center"/>
          </w:tcPr>
          <w:p>
            <w:pPr>
              <w:spacing w:after="20"/>
            </w:pPr>
            <w:r>
              <w:rPr>
                <w:sz w:val="16"/>
              </w:rPr>
              <w:t>Risk formula</w:t>
            </w:r>
          </w:p>
        </w:tc>
        <w:tc>
          <w:tcPr>
            <w:tcW w:type="dxa" w:w="4968"/>
            <w:vAlign w:val="center"/>
          </w:tcPr>
          <w:p>
            <w:pPr>
              <w:spacing w:after="20"/>
            </w:pPr>
            <w:r>
              <w:rPr>
                <w:sz w:val="16"/>
              </w:rPr>
              <w:t>Set factor definitions, weights, thresholds and calibration method.</w:t>
            </w:r>
          </w:p>
        </w:tc>
        <w:tc>
          <w:tcPr>
            <w:tcW w:type="dxa" w:w="3312"/>
            <w:vAlign w:val="center"/>
          </w:tcPr>
          <w:p>
            <w:pPr>
              <w:spacing w:after="20"/>
            </w:pPr>
            <w:r>
              <w:rPr>
                <w:sz w:val="16"/>
              </w:rPr>
              <w:t>Versioned formula and evaluation report.</w:t>
            </w:r>
          </w:p>
        </w:tc>
      </w:tr>
      <w:tr>
        <w:tc>
          <w:tcPr>
            <w:tcW w:type="dxa" w:w="1800"/>
            <w:vAlign w:val="center"/>
            <w:shd w:fill="F4F7FA"/>
          </w:tcPr>
          <w:p>
            <w:pPr>
              <w:spacing w:after="20"/>
            </w:pPr>
            <w:r>
              <w:rPr>
                <w:sz w:val="16"/>
              </w:rPr>
              <w:t>Performance</w:t>
            </w:r>
          </w:p>
        </w:tc>
        <w:tc>
          <w:tcPr>
            <w:tcW w:type="dxa" w:w="4968"/>
            <w:vAlign w:val="center"/>
            <w:shd w:fill="F4F7FA"/>
          </w:tcPr>
          <w:p>
            <w:pPr>
              <w:spacing w:after="20"/>
            </w:pPr>
            <w:r>
              <w:rPr>
                <w:sz w:val="16"/>
              </w:rPr>
              <w:t>Validate provisional targets on representative workloads.</w:t>
            </w:r>
          </w:p>
        </w:tc>
        <w:tc>
          <w:tcPr>
            <w:tcW w:type="dxa" w:w="3312"/>
            <w:vAlign w:val="center"/>
            <w:shd w:fill="F4F7FA"/>
          </w:tcPr>
          <w:p>
            <w:pPr>
              <w:spacing w:after="20"/>
            </w:pPr>
            <w:r>
              <w:rPr>
                <w:sz w:val="16"/>
              </w:rPr>
              <w:t>Performance report and final thresholds.</w:t>
            </w:r>
          </w:p>
        </w:tc>
      </w:tr>
      <w:tr>
        <w:tc>
          <w:tcPr>
            <w:tcW w:type="dxa" w:w="1800"/>
            <w:vAlign w:val="center"/>
          </w:tcPr>
          <w:p>
            <w:pPr>
              <w:spacing w:after="20"/>
            </w:pPr>
            <w:r>
              <w:rPr>
                <w:sz w:val="16"/>
              </w:rPr>
              <w:t>Integrations/security</w:t>
            </w:r>
          </w:p>
        </w:tc>
        <w:tc>
          <w:tcPr>
            <w:tcW w:type="dxa" w:w="4968"/>
            <w:vAlign w:val="center"/>
          </w:tcPr>
          <w:p>
            <w:pPr>
              <w:spacing w:after="20"/>
            </w:pPr>
            <w:r>
              <w:rPr>
                <w:sz w:val="16"/>
              </w:rPr>
              <w:t>Define scopes, schemas, errors and test evidence.</w:t>
            </w:r>
          </w:p>
        </w:tc>
        <w:tc>
          <w:tcPr>
            <w:tcW w:type="dxa" w:w="3312"/>
            <w:vAlign w:val="center"/>
          </w:tcPr>
          <w:p>
            <w:pPr>
              <w:spacing w:after="20"/>
            </w:pPr>
            <w:r>
              <w:rPr>
                <w:sz w:val="16"/>
              </w:rPr>
              <w:t>API contracts, permission matrix and tests.</w:t>
            </w:r>
          </w:p>
        </w:tc>
      </w:tr>
      <w:tr>
        <w:tc>
          <w:tcPr>
            <w:tcW w:type="dxa" w:w="1800"/>
            <w:vAlign w:val="center"/>
            <w:shd w:fill="F4F7FA"/>
          </w:tcPr>
          <w:p>
            <w:pPr>
              <w:spacing w:after="20"/>
            </w:pPr>
            <w:r>
              <w:rPr>
                <w:sz w:val="16"/>
              </w:rPr>
              <w:t>Data schema</w:t>
            </w:r>
          </w:p>
        </w:tc>
        <w:tc>
          <w:tcPr>
            <w:tcW w:type="dxa" w:w="4968"/>
            <w:vAlign w:val="center"/>
            <w:shd w:fill="F4F7FA"/>
          </w:tcPr>
          <w:p>
            <w:pPr>
              <w:spacing w:after="20"/>
            </w:pPr>
            <w:r>
              <w:rPr>
                <w:sz w:val="16"/>
              </w:rPr>
              <w:t>Finalise relationships, deletion, backup and retention jobs.</w:t>
            </w:r>
          </w:p>
        </w:tc>
        <w:tc>
          <w:tcPr>
            <w:tcW w:type="dxa" w:w="3312"/>
            <w:vAlign w:val="center"/>
            <w:shd w:fill="F4F7FA"/>
          </w:tcPr>
          <w:p>
            <w:pPr>
              <w:spacing w:after="20"/>
            </w:pPr>
            <w:r>
              <w:rPr>
                <w:sz w:val="16"/>
              </w:rPr>
              <w:t>ERD/schema and retention tests.</w:t>
            </w:r>
          </w:p>
        </w:tc>
      </w:tr>
      <w:tr>
        <w:tc>
          <w:tcPr>
            <w:tcW w:type="dxa" w:w="1800"/>
            <w:vAlign w:val="center"/>
          </w:tcPr>
          <w:p>
            <w:pPr>
              <w:spacing w:after="20"/>
            </w:pPr>
            <w:r>
              <w:rPr>
                <w:sz w:val="16"/>
              </w:rPr>
              <w:t>Deployment</w:t>
            </w:r>
          </w:p>
        </w:tc>
        <w:tc>
          <w:tcPr>
            <w:tcW w:type="dxa" w:w="4968"/>
            <w:vAlign w:val="center"/>
          </w:tcPr>
          <w:p>
            <w:pPr>
              <w:spacing w:after="20"/>
            </w:pPr>
            <w:r>
              <w:rPr>
                <w:sz w:val="16"/>
              </w:rPr>
              <w:t>Choose worker/runtime/container/hosting details and hardware profiles.</w:t>
            </w:r>
          </w:p>
        </w:tc>
        <w:tc>
          <w:tcPr>
            <w:tcW w:type="dxa" w:w="3312"/>
            <w:vAlign w:val="center"/>
          </w:tcPr>
          <w:p>
            <w:pPr>
              <w:spacing w:after="20"/>
            </w:pPr>
            <w:r>
              <w:rPr>
                <w:sz w:val="16"/>
              </w:rPr>
              <w:t>Deployment architecture/runbook.</w:t>
            </w:r>
          </w:p>
        </w:tc>
      </w:tr>
    </w:tbl>
    <w:p/>
    <w:p>
      <w:pPr>
        <w:pStyle w:val="Heading2"/>
        <w:keepNext/>
      </w:pPr>
      <w:r>
        <w:t>13.3 Detailed Design Deliverables</w:t>
      </w:r>
    </w:p>
    <w:p>
      <w:pPr>
        <w:pStyle w:val="ListBullet"/>
        <w:spacing w:after="40"/>
      </w:pPr>
      <w:r>
        <w:t>API routes, request/response schemas and error codes.</w:t>
      </w:r>
    </w:p>
    <w:p>
      <w:pPr>
        <w:pStyle w:val="ListBullet"/>
        <w:spacing w:after="40"/>
      </w:pPr>
      <w:r>
        <w:t>Database constraints, indexing, migrations and backup/restore.</w:t>
      </w:r>
    </w:p>
    <w:p>
      <w:pPr>
        <w:pStyle w:val="ListBullet"/>
        <w:spacing w:after="40"/>
      </w:pPr>
      <w:r>
        <w:t>Password/session/token implementation details.</w:t>
      </w:r>
    </w:p>
    <w:p>
      <w:pPr>
        <w:pStyle w:val="ListBullet"/>
        <w:spacing w:after="40"/>
      </w:pPr>
      <w:r>
        <w:t>Email provider and delivery/retry configuration.</w:t>
      </w:r>
    </w:p>
    <w:p>
      <w:pPr>
        <w:pStyle w:val="ListBullet"/>
        <w:spacing w:after="40"/>
      </w:pPr>
      <w:r>
        <w:t>Source/report/backup deletion behaviour and applicable legal requirements.</w:t>
      </w:r>
    </w:p>
    <w:p>
      <w:pPr>
        <w:pStyle w:val="ListBullet"/>
        <w:spacing w:after="40"/>
      </w:pPr>
      <w:r>
        <w:t>Whether test/build commands run in a sandbox and permitted resource/command policy.</w:t>
      </w:r>
    </w:p>
    <w:p>
      <w:pPr>
        <w:pStyle w:val="ListBullet"/>
        <w:spacing w:after="40"/>
      </w:pPr>
      <w:r>
        <w:t>Progress reporting and cancellation support for each engine/model.</w:t>
      </w:r>
    </w:p>
    <w:p>
      <w:r>
        <w:t>These items do not invalidate the agreed product scope. They must be specified before the relevant implementation is considered complete.</w:t>
      </w:r>
    </w:p>
    <w:p>
      <w:pPr>
        <w:pStyle w:val="Heading1"/>
        <w:keepNext/>
      </w:pPr>
      <w:r>
        <w:t>Appendix A. Glossary</w:t>
      </w:r>
    </w:p>
    <w:tbl>
      <w:tblPr>
        <w:tblStyle w:val="TableGrid"/>
        <w:tblW w:type="auto" w:w="0"/>
        <w:jc w:val="center"/>
        <w:tblLook w:firstColumn="1" w:firstRow="1" w:lastColumn="0" w:lastRow="0" w:noHBand="0" w:noVBand="1" w:val="04A0"/>
      </w:tblPr>
      <w:tblGrid>
        <w:gridCol w:w="5040"/>
        <w:gridCol w:w="5040"/>
      </w:tblGrid>
      <w:tr>
        <w:tc>
          <w:tcPr>
            <w:tcW w:type="dxa" w:w="2376"/>
            <w:shd w:fill="243B53"/>
          </w:tcPr>
          <w:p>
            <w:r>
              <w:rPr>
                <w:b/>
                <w:color w:val="FFFFFF"/>
                <w:sz w:val="16"/>
              </w:rPr>
              <w:t>Term</w:t>
            </w:r>
          </w:p>
        </w:tc>
        <w:tc>
          <w:tcPr>
            <w:tcW w:type="dxa" w:w="7704"/>
            <w:shd w:fill="243B53"/>
          </w:tcPr>
          <w:p>
            <w:r>
              <w:rPr>
                <w:b/>
                <w:color w:val="FFFFFF"/>
                <w:sz w:val="16"/>
              </w:rPr>
              <w:t>Meaning</w:t>
            </w:r>
          </w:p>
        </w:tc>
      </w:tr>
      <w:tr>
        <w:tc>
          <w:tcPr>
            <w:tcW w:type="dxa" w:w="2376"/>
            <w:vAlign w:val="center"/>
          </w:tcPr>
          <w:p>
            <w:pPr>
              <w:spacing w:after="20"/>
            </w:pPr>
            <w:r>
              <w:rPr>
                <w:sz w:val="16"/>
              </w:rPr>
              <w:t>Adapter</w:t>
            </w:r>
          </w:p>
        </w:tc>
        <w:tc>
          <w:tcPr>
            <w:tcW w:type="dxa" w:w="7704"/>
            <w:vAlign w:val="center"/>
          </w:tcPr>
          <w:p>
            <w:pPr>
              <w:spacing w:after="20"/>
            </w:pPr>
            <w:r>
              <w:rPr>
                <w:sz w:val="16"/>
              </w:rPr>
              <w:t>Replaceable integration component.</w:t>
            </w:r>
          </w:p>
        </w:tc>
      </w:tr>
      <w:tr>
        <w:tc>
          <w:tcPr>
            <w:tcW w:type="dxa" w:w="2376"/>
            <w:vAlign w:val="center"/>
            <w:shd w:fill="F4F7FA"/>
          </w:tcPr>
          <w:p>
            <w:pPr>
              <w:spacing w:after="20"/>
            </w:pPr>
            <w:r>
              <w:rPr>
                <w:sz w:val="16"/>
              </w:rPr>
              <w:t>Calibrated score</w:t>
            </w:r>
          </w:p>
        </w:tc>
        <w:tc>
          <w:tcPr>
            <w:tcW w:type="dxa" w:w="7704"/>
            <w:vAlign w:val="center"/>
            <w:shd w:fill="F4F7FA"/>
          </w:tcPr>
          <w:p>
            <w:pPr>
              <w:spacing w:after="20"/>
            </w:pPr>
            <w:r>
              <w:rPr>
                <w:sz w:val="16"/>
              </w:rPr>
              <w:t>Score whose meaning/ordering has been evaluated against reference data.</w:t>
            </w:r>
          </w:p>
        </w:tc>
      </w:tr>
      <w:tr>
        <w:tc>
          <w:tcPr>
            <w:tcW w:type="dxa" w:w="2376"/>
            <w:vAlign w:val="center"/>
          </w:tcPr>
          <w:p>
            <w:pPr>
              <w:spacing w:after="20"/>
            </w:pPr>
            <w:r>
              <w:rPr>
                <w:sz w:val="16"/>
              </w:rPr>
              <w:t>Curated content</w:t>
            </w:r>
          </w:p>
        </w:tc>
        <w:tc>
          <w:tcPr>
            <w:tcW w:type="dxa" w:w="7704"/>
            <w:vAlign w:val="center"/>
          </w:tcPr>
          <w:p>
            <w:pPr>
              <w:spacing w:after="20"/>
            </w:pPr>
            <w:r>
              <w:rPr>
                <w:sz w:val="16"/>
              </w:rPr>
              <w:t>Learning material selected from trusted sources and attributed.</w:t>
            </w:r>
          </w:p>
        </w:tc>
      </w:tr>
      <w:tr>
        <w:tc>
          <w:tcPr>
            <w:tcW w:type="dxa" w:w="2376"/>
            <w:vAlign w:val="center"/>
            <w:shd w:fill="F4F7FA"/>
          </w:tcPr>
          <w:p>
            <w:pPr>
              <w:spacing w:after="20"/>
            </w:pPr>
            <w:r>
              <w:rPr>
                <w:sz w:val="16"/>
              </w:rPr>
              <w:t>False positive</w:t>
            </w:r>
          </w:p>
        </w:tc>
        <w:tc>
          <w:tcPr>
            <w:tcW w:type="dxa" w:w="7704"/>
            <w:vAlign w:val="center"/>
            <w:shd w:fill="F4F7FA"/>
          </w:tcPr>
          <w:p>
            <w:pPr>
              <w:spacing w:after="20"/>
            </w:pPr>
            <w:r>
              <w:rPr>
                <w:sz w:val="16"/>
              </w:rPr>
              <w:t>Reported issue that is not present or relevant under the applicable rule.</w:t>
            </w:r>
          </w:p>
        </w:tc>
      </w:tr>
      <w:tr>
        <w:tc>
          <w:tcPr>
            <w:tcW w:type="dxa" w:w="2376"/>
            <w:vAlign w:val="center"/>
          </w:tcPr>
          <w:p>
            <w:pPr>
              <w:spacing w:after="20"/>
            </w:pPr>
            <w:r>
              <w:rPr>
                <w:sz w:val="16"/>
              </w:rPr>
              <w:t>Finding normalisation</w:t>
            </w:r>
          </w:p>
        </w:tc>
        <w:tc>
          <w:tcPr>
            <w:tcW w:type="dxa" w:w="7704"/>
            <w:vAlign w:val="center"/>
          </w:tcPr>
          <w:p>
            <w:pPr>
              <w:spacing w:after="20"/>
            </w:pPr>
            <w:r>
              <w:rPr>
                <w:sz w:val="16"/>
              </w:rPr>
              <w:t>Conversion of different engine outputs to a consistent representation.</w:t>
            </w:r>
          </w:p>
        </w:tc>
      </w:tr>
      <w:tr>
        <w:tc>
          <w:tcPr>
            <w:tcW w:type="dxa" w:w="2376"/>
            <w:vAlign w:val="center"/>
            <w:shd w:fill="F4F7FA"/>
          </w:tcPr>
          <w:p>
            <w:pPr>
              <w:spacing w:after="20"/>
            </w:pPr>
            <w:r>
              <w:rPr>
                <w:sz w:val="16"/>
              </w:rPr>
              <w:t>Least privilege</w:t>
            </w:r>
          </w:p>
        </w:tc>
        <w:tc>
          <w:tcPr>
            <w:tcW w:type="dxa" w:w="7704"/>
            <w:vAlign w:val="center"/>
            <w:shd w:fill="F4F7FA"/>
          </w:tcPr>
          <w:p>
            <w:pPr>
              <w:spacing w:after="20"/>
            </w:pPr>
            <w:r>
              <w:rPr>
                <w:sz w:val="16"/>
              </w:rPr>
              <w:t>Only the permissions required for a task are granted.</w:t>
            </w:r>
          </w:p>
        </w:tc>
      </w:tr>
      <w:tr>
        <w:tc>
          <w:tcPr>
            <w:tcW w:type="dxa" w:w="2376"/>
            <w:vAlign w:val="center"/>
          </w:tcPr>
          <w:p>
            <w:pPr>
              <w:spacing w:after="20"/>
            </w:pPr>
            <w:r>
              <w:rPr>
                <w:sz w:val="16"/>
              </w:rPr>
              <w:t>Model registry</w:t>
            </w:r>
          </w:p>
        </w:tc>
        <w:tc>
          <w:tcPr>
            <w:tcW w:type="dxa" w:w="7704"/>
            <w:vAlign w:val="center"/>
          </w:tcPr>
          <w:p>
            <w:pPr>
              <w:spacing w:after="20"/>
            </w:pPr>
            <w:r>
              <w:rPr>
                <w:sz w:val="16"/>
              </w:rPr>
              <w:t>Catalogue of models, versions, capabilities, compatibility and benchmark results.</w:t>
            </w:r>
          </w:p>
        </w:tc>
      </w:tr>
      <w:tr>
        <w:tc>
          <w:tcPr>
            <w:tcW w:type="dxa" w:w="2376"/>
            <w:vAlign w:val="center"/>
            <w:shd w:fill="F4F7FA"/>
          </w:tcPr>
          <w:p>
            <w:pPr>
              <w:spacing w:after="20"/>
            </w:pPr>
            <w:r>
              <w:rPr>
                <w:sz w:val="16"/>
              </w:rPr>
              <w:t>Source revision</w:t>
            </w:r>
          </w:p>
        </w:tc>
        <w:tc>
          <w:tcPr>
            <w:tcW w:type="dxa" w:w="7704"/>
            <w:vAlign w:val="center"/>
            <w:shd w:fill="F4F7FA"/>
          </w:tcPr>
          <w:p>
            <w:pPr>
              <w:spacing w:after="20"/>
            </w:pPr>
            <w:r>
              <w:rPr>
                <w:sz w:val="16"/>
              </w:rPr>
              <w:t>Identifiable version of code, such as a commit or imported archive version.</w:t>
            </w:r>
          </w:p>
        </w:tc>
      </w:tr>
      <w:tr>
        <w:tc>
          <w:tcPr>
            <w:tcW w:type="dxa" w:w="2376"/>
            <w:vAlign w:val="center"/>
          </w:tcPr>
          <w:p>
            <w:pPr>
              <w:spacing w:after="20"/>
            </w:pPr>
            <w:r>
              <w:rPr>
                <w:sz w:val="16"/>
              </w:rPr>
              <w:t>Usability heuristic</w:t>
            </w:r>
          </w:p>
        </w:tc>
        <w:tc>
          <w:tcPr>
            <w:tcW w:type="dxa" w:w="7704"/>
            <w:vAlign w:val="center"/>
          </w:tcPr>
          <w:p>
            <w:pPr>
              <w:spacing w:after="20"/>
            </w:pPr>
            <w:r>
              <w:rPr>
                <w:sz w:val="16"/>
              </w:rPr>
              <w:t>General principle for evaluating interface usability and error prevention.</w:t>
            </w:r>
          </w:p>
        </w:tc>
      </w:tr>
    </w:tbl>
    <w:p/>
    <w:p>
      <w:pPr>
        <w:pStyle w:val="Heading1"/>
        <w:keepNext/>
      </w:pPr>
      <w:r>
        <w:t>Appendix B. Status Summary</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243B53"/>
          </w:tcPr>
          <w:p>
            <w:r>
              <w:rPr>
                <w:b/>
                <w:color w:val="FFFFFF"/>
                <w:sz w:val="16"/>
              </w:rPr>
              <w:t>Status</w:t>
            </w:r>
          </w:p>
        </w:tc>
        <w:tc>
          <w:tcPr>
            <w:tcW w:type="dxa" w:w="3600"/>
            <w:shd w:fill="243B53"/>
          </w:tcPr>
          <w:p>
            <w:r>
              <w:rPr>
                <w:b/>
                <w:color w:val="FFFFFF"/>
                <w:sz w:val="16"/>
              </w:rPr>
              <w:t>Meaning</w:t>
            </w:r>
          </w:p>
        </w:tc>
        <w:tc>
          <w:tcPr>
            <w:tcW w:type="dxa" w:w="4608"/>
            <w:shd w:fill="243B53"/>
          </w:tcPr>
          <w:p>
            <w:r>
              <w:rPr>
                <w:b/>
                <w:color w:val="FFFFFF"/>
                <w:sz w:val="16"/>
              </w:rPr>
              <w:t>Examples</w:t>
            </w:r>
          </w:p>
        </w:tc>
      </w:tr>
      <w:tr>
        <w:tc>
          <w:tcPr>
            <w:tcW w:type="dxa" w:w="1872"/>
            <w:vAlign w:val="center"/>
          </w:tcPr>
          <w:p>
            <w:pPr>
              <w:spacing w:after="20"/>
            </w:pPr>
            <w:r>
              <w:rPr>
                <w:sz w:val="16"/>
              </w:rPr>
              <w:t>Agreed</w:t>
            </w:r>
          </w:p>
        </w:tc>
        <w:tc>
          <w:tcPr>
            <w:tcW w:type="dxa" w:w="3600"/>
            <w:vAlign w:val="center"/>
          </w:tcPr>
          <w:p>
            <w:pPr>
              <w:spacing w:after="20"/>
            </w:pPr>
            <w:r>
              <w:rPr>
                <w:sz w:val="16"/>
              </w:rPr>
              <w:t>Product behaviour/policy settled.</w:t>
            </w:r>
          </w:p>
        </w:tc>
        <w:tc>
          <w:tcPr>
            <w:tcW w:type="dxa" w:w="4608"/>
            <w:vAlign w:val="center"/>
          </w:tcPr>
          <w:p>
            <w:pPr>
              <w:spacing w:after="20"/>
            </w:pPr>
            <w:r>
              <w:rPr>
                <w:sz w:val="16"/>
              </w:rPr>
              <w:t>Roles, retention, learning scope, fix approval.</w:t>
            </w:r>
          </w:p>
        </w:tc>
      </w:tr>
      <w:tr>
        <w:tc>
          <w:tcPr>
            <w:tcW w:type="dxa" w:w="1872"/>
            <w:vAlign w:val="center"/>
            <w:shd w:fill="F4F7FA"/>
          </w:tcPr>
          <w:p>
            <w:pPr>
              <w:spacing w:after="20"/>
            </w:pPr>
            <w:r>
              <w:rPr>
                <w:sz w:val="16"/>
              </w:rPr>
              <w:t>Pending evaluation</w:t>
            </w:r>
          </w:p>
        </w:tc>
        <w:tc>
          <w:tcPr>
            <w:tcW w:type="dxa" w:w="3600"/>
            <w:vAlign w:val="center"/>
            <w:shd w:fill="F4F7FA"/>
          </w:tcPr>
          <w:p>
            <w:pPr>
              <w:spacing w:after="20"/>
            </w:pPr>
            <w:r>
              <w:rPr>
                <w:sz w:val="16"/>
              </w:rPr>
              <w:t>Component or values require evidence.</w:t>
            </w:r>
          </w:p>
        </w:tc>
        <w:tc>
          <w:tcPr>
            <w:tcW w:type="dxa" w:w="4608"/>
            <w:vAlign w:val="center"/>
            <w:shd w:fill="F4F7FA"/>
          </w:tcPr>
          <w:p>
            <w:pPr>
              <w:spacing w:after="20"/>
            </w:pPr>
            <w:r>
              <w:rPr>
                <w:sz w:val="16"/>
              </w:rPr>
              <w:t>Engine, local LLM, risk weights, final latency.</w:t>
            </w:r>
          </w:p>
        </w:tc>
      </w:tr>
      <w:tr>
        <w:tc>
          <w:tcPr>
            <w:tcW w:type="dxa" w:w="1872"/>
            <w:vAlign w:val="center"/>
          </w:tcPr>
          <w:p>
            <w:pPr>
              <w:spacing w:after="20"/>
            </w:pPr>
            <w:r>
              <w:rPr>
                <w:sz w:val="16"/>
              </w:rPr>
              <w:t>Pending detailed design</w:t>
            </w:r>
          </w:p>
        </w:tc>
        <w:tc>
          <w:tcPr>
            <w:tcW w:type="dxa" w:w="3600"/>
            <w:vAlign w:val="center"/>
          </w:tcPr>
          <w:p>
            <w:pPr>
              <w:spacing w:after="20"/>
            </w:pPr>
            <w:r>
              <w:rPr>
                <w:sz w:val="16"/>
              </w:rPr>
              <w:t>Contracts/schema need specification.</w:t>
            </w:r>
          </w:p>
        </w:tc>
        <w:tc>
          <w:tcPr>
            <w:tcW w:type="dxa" w:w="4608"/>
            <w:vAlign w:val="center"/>
          </w:tcPr>
          <w:p>
            <w:pPr>
              <w:spacing w:after="20"/>
            </w:pPr>
            <w:r>
              <w:rPr>
                <w:sz w:val="16"/>
              </w:rPr>
              <w:t>API routes, database, workers.</w:t>
            </w:r>
          </w:p>
        </w:tc>
      </w:tr>
      <w:tr>
        <w:tc>
          <w:tcPr>
            <w:tcW w:type="dxa" w:w="1872"/>
            <w:vAlign w:val="center"/>
            <w:shd w:fill="F4F7FA"/>
          </w:tcPr>
          <w:p>
            <w:pPr>
              <w:spacing w:after="20"/>
            </w:pPr>
            <w:r>
              <w:rPr>
                <w:sz w:val="16"/>
              </w:rPr>
              <w:t>Not claimed complete</w:t>
            </w:r>
          </w:p>
        </w:tc>
        <w:tc>
          <w:tcPr>
            <w:tcW w:type="dxa" w:w="3600"/>
            <w:vAlign w:val="center"/>
            <w:shd w:fill="F4F7FA"/>
          </w:tcPr>
          <w:p>
            <w:pPr>
              <w:spacing w:after="20"/>
            </w:pPr>
            <w:r>
              <w:rPr>
                <w:sz w:val="16"/>
              </w:rPr>
              <w:t>SRS does not imply implementation or successful testing.</w:t>
            </w:r>
          </w:p>
        </w:tc>
        <w:tc>
          <w:tcPr>
            <w:tcW w:type="dxa" w:w="4608"/>
            <w:vAlign w:val="center"/>
            <w:shd w:fill="F4F7FA"/>
          </w:tcPr>
          <w:p>
            <w:pPr>
              <w:spacing w:after="20"/>
            </w:pPr>
            <w:r>
              <w:rPr>
                <w:sz w:val="16"/>
              </w:rPr>
              <w:t>All features require build/test evidence.</w:t>
            </w:r>
          </w:p>
        </w:tc>
      </w:tr>
    </w:tbl>
    <w:p/>
    <w:p>
      <w:r>
        <w:t>End of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Explicite AI SRS v1.0  •  Requirements baseline; technical evaluation pending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EXPLICITE AI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6B4EF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43B5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243B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Explicite AI — Software Requirements Specification</dc:title>
  <dc:subject>SRS v1.0 requirements baseline, updated with Policy Updates page</dc:subject>
  <dc:creator>Explicite AI project team</dc:creator>
  <cp:keywords>Explicite AI, SRS, explainable code review, AI learning, risk scoring</cp:keywords>
  <dc:description>generated by python-docx</dc:description>
  <cp:lastModifiedBy/>
  <cp:revision>1</cp:revision>
  <dcterms:created xsi:type="dcterms:W3CDTF">2013-12-23T23:15:00Z</dcterms:created>
  <dcterms:modified xsi:type="dcterms:W3CDTF">2013-12-23T23:15:00Z</dcterms:modified>
  <cp:category/>
</cp:coreProperties>
</file>