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נוהל ביקור טכנאי בבית הלקוח</w:t>
      </w:r>
    </w:p>
    <w:p>
      <w:r>
        <w:t>מסמך הדגמה פיקטיבי שנוצר עבור מטלת הבית של Jeen AI. אינו מסמך של חברה אמיתית.</w:t>
      </w:r>
    </w:p>
    <w:p>
      <w:pPr>
        <w:pStyle w:val="Heading2"/>
      </w:pPr>
      <w:r>
        <w:t>מתי מזמינים טכנאי</w:t>
      </w:r>
    </w:p>
    <w:p>
      <w:r>
        <w:t>מזמינים ביקור טכנאי רק אחרי שבוצעה בדיקת תקלות אזוריות, ובדיקת קו מרחוק נכשלה. אם קיימת תקלה פעילה באזור הלקוח, אין לתאם ביקור, ויש למסור ללקוח את צפי התיקון מתוך רשומת התקלה.</w:t>
      </w:r>
    </w:p>
    <w:p>
      <w:pPr>
        <w:pStyle w:val="Heading2"/>
      </w:pPr>
      <w:r>
        <w:t>תיאום הביקור</w:t>
      </w:r>
    </w:p>
    <w:p>
      <w:r>
        <w:t>יש להציע ללקוח את שני חלונות הזמן הקרובים ביותר, בבוקר ובאחר הצהריים. הביקור נקבע רק אחרי שהלקוח אישר את הכתובת ואת מספר הטלפון ליצירת קשר. ביום הביקור נשלחת ללקוח הודעת SMS עם שעת הגעה משוערת.</w:t>
      </w:r>
    </w:p>
    <w:p>
      <w:pPr>
        <w:pStyle w:val="Heading2"/>
      </w:pPr>
      <w:r>
        <w:t>ביקור חוזר</w:t>
      </w:r>
    </w:p>
    <w:p>
      <w:r>
        <w:t>אם הלקוח מדווח על אותה תקלה בתוך 30 יום מביקור קודם, הפנייה מסומנת כפנייה חוזרת ומקבלת עדיפות גבוהה. במקרה כזה יש לצרף לכרטיס את סיכום הביקור הקודם, כדי שהטכנאי לא יחזור על אותן בדיקות.</w:t>
      </w:r>
    </w:p>
    <w:p>
      <w:pPr>
        <w:pStyle w:val="Heading2"/>
      </w:pPr>
      <w:r>
        <w:t>ביטול ושינוי מועד</w:t>
      </w:r>
    </w:p>
    <w:p>
      <w:r>
        <w:t>הלקוח רשאי לבטל או לשנות את מועד הביקור עד שעתיים לפני תחילת חלון הזמן, ללא עלות. ביטול מאוחר יותר מתועד בכרטיס, אך אינו מחויב בתשלום בפעם הראשונה.</w:t>
      </w:r>
    </w:p>
    <w:tbl>
      <w:tblPr>
        <w:tblStyle w:val="TableGrid"/>
        <w:tblW w:type="auto" w:w="0"/>
        <w:tblLook w:firstColumn="1" w:firstRow="1" w:lastColumn="0" w:lastRow="0" w:noHBand="0" w:noVBand="1" w:val="04A0"/>
      </w:tblPr>
      <w:tblGrid>
        <w:gridCol w:w="4320"/>
        <w:gridCol w:w="4320"/>
      </w:tblGrid>
      <w:tr>
        <w:tc>
          <w:tcPr>
            <w:tcW w:type="dxa" w:w="4320"/>
          </w:tcPr>
          <w:p>
            <w:r>
              <w:t>סוג ביקור</w:t>
            </w:r>
          </w:p>
        </w:tc>
        <w:tc>
          <w:tcPr>
            <w:tcW w:type="dxa" w:w="4320"/>
          </w:tcPr>
          <w:p>
            <w:r>
              <w:t>זמן תגובה יעד</w:t>
            </w:r>
          </w:p>
        </w:tc>
      </w:tr>
      <w:tr>
        <w:tc>
          <w:tcPr>
            <w:tcW w:type="dxa" w:w="4320"/>
          </w:tcPr>
          <w:p>
            <w:r>
              <w:t>ביקור רגיל</w:t>
            </w:r>
          </w:p>
        </w:tc>
        <w:tc>
          <w:tcPr>
            <w:tcW w:type="dxa" w:w="4320"/>
          </w:tcPr>
          <w:p>
            <w:r>
              <w:t>עד 3 ימי עבודה</w:t>
            </w:r>
          </w:p>
        </w:tc>
      </w:tr>
      <w:tr>
        <w:tc>
          <w:tcPr>
            <w:tcW w:type="dxa" w:w="4320"/>
          </w:tcPr>
          <w:p>
            <w:r>
              <w:t>ביקור חוזר</w:t>
            </w:r>
          </w:p>
        </w:tc>
        <w:tc>
          <w:tcPr>
            <w:tcW w:type="dxa" w:w="4320"/>
          </w:tcPr>
          <w:p>
            <w:r>
              <w:t>עד יום עבודה אחד</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