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6</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9</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11</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11</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13</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14</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16</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16</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17</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18</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Cassandra Hensen</w:t>
      </w:r>
      <w:r>
        <w:rPr>
          <w:rFonts w:eastAsia="Times New Roman"/>
          <w:lang w:eastAsia="nl-NL"/>
        </w:rPr>
        <w:br/>
        <w:t>Lisa Middelbos</w:t>
      </w:r>
      <w:r>
        <w:rPr>
          <w:rFonts w:eastAsia="Times New Roman"/>
          <w:lang w:eastAsia="nl-NL"/>
        </w:rPr>
        <w:br/>
        <w:t>Fokke Veenstra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 Deze besparing telt mee voor de 15% minder ambtenaren.</w:t>
      </w:r>
    </w:p>
    <w:p>
      <w:pPr>
        <w:pStyle w:val="Hoofdtekst"/>
        <w:rPr>
          <w:rFonts w:cs="Times New Roman"/>
        </w:rPr>
      </w:pPr>
      <w:r>
        <w:rPr>
          <w:color w:val="FF6400"/>
        </w:rPr>
        <w:t>▶</w:t>
      </w:r>
      <w:r>
        <w:tab/>
      </w:r>
      <w:r>
        <w:rPr>
          <w:rFonts w:cs="Times New Roman"/>
          <w:b/>
          <w:bCs/>
        </w:rPr>
        <w:t xml:space="preserve">Besparingen op het ambtenarenapparaat 15% en een vacaturestop</w:t>
      </w:r>
      <w:r>
        <w:rPr>
          <w:rFonts w:cs="Times New Roman"/>
          <w:b/>
          <w:bCs/>
        </w:rPr>
        <w:t xml:space="preserve">. </w:t>
      </w:r>
      <w:r>
        <w:rPr>
          <w:rFonts w:cs="Times New Roman"/>
        </w:rPr>
        <w:t xml:space="preserve">Wat de VVD betreft moet de gemeente vooral heel veel taken niet meer doen. Daarom kan het ambtenarenapparaat met 15% krimpen: 53,7 miljoen euro per jaar vanaf 2030. Amsterdam laat zien dat het kan: die gemeente heeft een vacature- en inhuurstop ingesteld en wil 2.500 voltijdbanen schrappen.</w:t>
      </w:r>
      <w:r>
        <w:rPr>
          <w:rStyle w:val="Voetnootmarkering"/>
          <w:rFonts w:cs="Times New Roman"/>
        </w:rPr>
        <w:footnoteReference w:id="1"/>
      </w:r>
      <w:r>
        <w:rPr>
          <w:rFonts w:cs="Times New Roman"/>
        </w:rPr>
        <w:t xml:space="preserve"> De VVD wil ook in Groningen een vacaturestop: vacatures die ontstaan door pensioen of vertrek worden niet meer opgevuld. Veiligheid en uitvoering vallen daarbuiten: boa’s en handhaving, en de mensen die het werk voor inwoners doen, zoals onderhoud van de openbare ruimte, afvalinzameling en dienstverlening aan het loket, worden wel vervangen. Daarnaast stoot de gemeente taken af. De besparingen op de overhead (26,3 miljoen euro) en op het klimaat- en energiebeleid (6,5 miljoen euro) tellen mee voor deze 15%. De rest, oplopend van 5,2 miljoen euro in 2027 naar 20,9 miljoen euro vanaf 2030, komt uit de vacaturestop en het afstoten van taken in de rest van de organisatie. Omdat de besparing op de overhead al in 2027 wordt gehaald, sneller dan via natuurlijk verloop kan, is in 2027 eenmalig 8,4 miljoen euro aan frictiekosten opgenomen.</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Dat versnelt de bouw. Er zijn dan ook minder ambtenaren voor wonen nodig; die besparing valt binnen de 15% minder ambtenaren en staat daarom niet apart in de tabel.</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0,6 miljoen euro in 2027 en 0,9 miljoen euro per jaar vanaf 2028. De gemeente stoot hierdoor wel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in 2027).</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2"/>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voor werk</w:t>
      </w:r>
      <w:r>
        <w:rPr>
          <w:rFonts w:cs="Times New Roman"/>
          <w:b/>
          <w:bCs/>
        </w:rPr>
        <w:t xml:space="preserve">. </w:t>
      </w:r>
      <w:r>
        <w:rPr>
          <w:rFonts w:cs="Times New Roman"/>
        </w:rPr>
        <w:t xml:space="preserve">De gemeente stopt met het extra werkprogramma voor mensen in de bijstand (0,85 miljoen euro) en met de uitbreiding van Route Arbeid+ voor jongeren uit het praktijk- en speciaal onderwijs (0,35 miljoen euro). Dit zijn tijdelijke extra programma’s bovenop de gewone re-integratie; samen leveren ze in 2027 eenmalig 1,2 miljoen euro op. De jongeren die nu in Route Arbeid+ zitten, houden hun begeleiding. De VVD steekt het geld voor werk liever in het vaste budget: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3"/>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4"/>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5"/>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6"/>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In de begroting staat 0,25 miljoen euro per jaar uit het stedelijk investeringsfonds voor projecten in de Oosterhamrikzone, terwijl de uitvoering onzeker is en de kosten blijven stijgen. De VVD vindt dat de focus moet liggen op haalbare projecten met direct maatschappelijk nut. Daarom schrappen we dit budget.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dat vooral bestaat uit ambtelijke capaciteit; deze besparing telt mee voor de 15% minder ambtenaren.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plannen toe op mobiliteit en ruimte: de uitvoering van de mobiliteitsvisie gaat 55% omlaag en geo en data 15%. Minder ambtenaren voor mobiliteit en wonen valt onder de vacaturestop en de 15% minder ambtenaren. De VVD kiest voor haalbare projecten met direct nut voor inwoners.</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7"/>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8"/>
      </w:r>
      <w:r>
        <w:rPr>
          <w:rFonts w:cs="Times New Roman"/>
        </w:rPr>
        <w:t xml:space="preserve"> Het college wil de OZB in 2027 verhogen met 4,58% en daarbovenop nog eens 5%; de woonlasten voor huiseigenaren stijgen daardoor met 9,57%.</w:t>
      </w:r>
      <w:r>
        <w:rPr>
          <w:rStyle w:val="Voetnootmarkering"/>
          <w:rFonts w:cs="Times New Roman"/>
        </w:rPr>
        <w:footnoteReference w:id="9"/>
      </w:r>
      <w:r>
        <w:rPr>
          <w:rFonts w:cs="Times New Roman"/>
        </w:rPr>
        <w:t xml:space="preserve"> De VVD wil de lasten voor alle Groningers juist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Het college stelt de tweede stap van de reclamebelasting zelf al uit en stelt ondernemers met 2 m² reclame of minder vrij; een evaluatie is er nog niet.</w:t>
      </w:r>
      <w:r>
        <w:rPr>
          <w:rStyle w:val="Voetnootmarkering"/>
          <w:rFonts w:cs="Times New Roman"/>
        </w:rPr>
        <w:footnoteReference w:id="10"/>
      </w:r>
      <w:r>
        <w:rPr>
          <w:rFonts w:cs="Times New Roman"/>
        </w:rPr>
        <w:t xml:space="preserve">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11"/>
      </w:r>
      <w:r>
        <w:rPr>
          <w:rFonts w:cs="Times New Roman"/>
        </w:rPr>
        <w:t xml:space="preserve"> In 2027 wil het college de kortparkeertarieven in de binnenstad, Binnenstad-Oost, de Hortusbuurt en het Stationsgebied nog eens met 20% verhogen.</w:t>
      </w:r>
      <w:r>
        <w:rPr>
          <w:rStyle w:val="Voetnootmarkering"/>
          <w:rFonts w:cs="Times New Roman"/>
        </w:rPr>
        <w:footnoteReference w:id="12"/>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20%</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20%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13"/>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11,8 miljoen euro, storten we hiervoor. Het structurele overschot loopt op tot 53,8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sz w:val="16"/>
          <w:szCs w:val="16"/>
        </w:rPr>
        <w:t xml:space="preserve">Bron: Ontwerpbegroting 2027 gemeente Groningen; berekeningen VVD Groningen,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 (onderdeel van de 15% minder ambtenaren)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 (onderdeel van de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Ambtenarenapparaat 15%: vacaturestop en afstoten van taken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5,213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0,565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 (eenmalig)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8,403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11,786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114,945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6,85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101,106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80,425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80,675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80,88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8,903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110,009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80,425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80,675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80,88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11,786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42,483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48,752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53,76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13,839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42,483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48,752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53,76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−2,053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−35,705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−4,988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−4,961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11,786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103,022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156,782</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berekend op basis van de Ontwerpbegroting 2027, zonder indexering. Waar een maatregel tijd nodig heeft of gevolgen heeft voor andere budgetten, staat dat als kettingeffect apart in de tabellen. Dat zijn voorzichtige inschattingen: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en minder cultuur iets minder toeristenbelasting. De besparing op het ambtenarenapparaat bedraagt 15% van de loonsom (53,7 miljoen euro in 2030). Daarin tellen de besparingen op de overhead en het klimaat- en energiebeleid mee; de rest groeit in vier gelijke stappen (25%, 50%, 75% en 100%). De frictiekosten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Het Parool, "Gemeente Amsterdam nam sinds vacaturestop tientallen ambtenaren aan", 2026, https://www.parool.nl/amsterdam/gemeente-amsterdam-nam-sinds-vacaturestop-tientallen-ambtenaren-aan~bea34535/; AT5, "Begroting 2027: reorganisatie ambtenaren vertraagd, nauwelijks ruimte voor nieuwe investeringen", oktober 2026, https://www.at5.nl/artikelen/239953/begroting-2027-amsterdam; NH Nieuws, "Amsterdam wil 2.500 ambtenarenbanen schrappen, gedwongen ontslagen niet uitgesloten", 2026, https://www.nhnieuws.nl/nieuws/363300/amsterdam-wil-2500-ambtenarenbanen-schrappen-gedwongen-ontslagen-niet-uitgesloten</w:t>
      </w:r>
    </w:p>
  </w:footnote>
  <w:footnote w:id="2">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3">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4">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5">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6">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9">
    <w:p>
      <w:pPr>
        <w:pStyle w:val="Voetnoottekst"/>
      </w:pPr>
      <w:r>
        <w:rPr>
          <w:rStyle w:val="Voetnootmarkering"/>
        </w:rPr>
        <w:footnoteRef/>
      </w:r>
      <w:r>
        <w:t xml:space="preserve"> Gemeente Groningen, raadsvoorstel "Belastingtarieven 2027" (registratienummer 274695-2026), 1 oktober 2026.</w:t>
      </w:r>
    </w:p>
  </w:footnote>
  <w:footnote w:id="10">
    <w:p>
      <w:pPr>
        <w:pStyle w:val="Voetnoottekst"/>
      </w:pPr>
      <w:r>
        <w:rPr>
          <w:rStyle w:val="Voetnootmarkering"/>
        </w:rPr>
        <w:footnoteRef/>
      </w:r>
      <w:r>
        <w:t xml:space="preserve"> Gemeente Groningen, raadsvoorstel "Belastingtarieven 2027" (registratienummer 274695-2026), 1 oktober 2026.</w:t>
      </w:r>
    </w:p>
  </w:footnote>
  <w:footnote w:id="11">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12">
    <w:p>
      <w:pPr>
        <w:pStyle w:val="Voetnoottekst"/>
      </w:pPr>
      <w:r>
        <w:rPr>
          <w:rStyle w:val="Voetnootmarkering"/>
        </w:rPr>
        <w:footnoteRef/>
      </w:r>
      <w:r>
        <w:t xml:space="preserve"> Gemeente Groningen, raadsvoorstel "Belastingtarieven 2027" (registratienummer 274695-2026), 1 oktober 2026.</w:t>
      </w:r>
    </w:p>
  </w:footnote>
  <w:footnote w:id="13">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