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7</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10</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12</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12</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14</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15</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17</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17</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18</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19</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Cassandra Hensen</w:t>
      </w:r>
      <w:r>
        <w:rPr>
          <w:rFonts w:eastAsia="Times New Roman"/>
          <w:lang w:eastAsia="nl-NL"/>
        </w:rPr>
        <w:br/>
        <w:t>Lisa Middelbos</w:t>
      </w:r>
      <w:r>
        <w:rPr>
          <w:rFonts w:eastAsia="Times New Roman"/>
          <w:lang w:eastAsia="nl-NL"/>
        </w:rPr>
        <w:br/>
        <w:t>Fokke Veenstra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 Deze besparing telt mee voor de 15% minder ambtenaren.</w:t>
      </w:r>
    </w:p>
    <w:p>
      <w:pPr>
        <w:pStyle w:val="Hoofdtekst"/>
        <w:rPr>
          <w:rFonts w:cs="Times New Roman"/>
        </w:rPr>
      </w:pPr>
      <w:r>
        <w:rPr>
          <w:color w:val="FF6400"/>
        </w:rPr>
        <w:t>▶</w:t>
      </w:r>
      <w:r>
        <w:tab/>
      </w:r>
      <w:r>
        <w:rPr>
          <w:rFonts w:cs="Times New Roman"/>
          <w:b/>
          <w:bCs/>
        </w:rPr>
        <w:t xml:space="preserve">Besparingen op het ambtenarenapparaat 15% en een vacaturestop</w:t>
      </w:r>
      <w:r>
        <w:rPr>
          <w:rFonts w:cs="Times New Roman"/>
          <w:b/>
          <w:bCs/>
        </w:rPr>
        <w:t xml:space="preserve">. </w:t>
      </w:r>
      <w:r>
        <w:rPr>
          <w:rFonts w:cs="Times New Roman"/>
        </w:rPr>
        <w:t xml:space="preserve">Wat de VVD betreft moet de gemeente vooral heel veel taken niet meer doen. Daarom kan het ambtenarenapparaat met 15% krimpen: 53,7 miljoen euro per jaar vanaf 2030. Groningen heeft met 14,7 fte per 1.000 inwoners fors meer ambtenaren dan Breda, Eindhoven, Nijmegen, Apeldoorn, Zwolle en Haarlemmermeer; alleen Utrecht zit hoger (zie de tabel hieronder). Met 15% minder komt Groningen uit op ongeveer 12,5 fte per 1.000 inwoners. Amsterdam laat zien dat het kan: die gemeente heeft een vacature- en inhuurstop ingesteld en wil 2.500 voltijdbanen schrappen.</w:t>
      </w:r>
      <w:r>
        <w:rPr>
          <w:rStyle w:val="Voetnootmarkering"/>
          <w:rFonts w:cs="Times New Roman"/>
        </w:rPr>
        <w:footnoteReference w:id="1"/>
      </w:r>
      <w:r>
        <w:rPr>
          <w:rFonts w:cs="Times New Roman"/>
        </w:rPr>
        <w:t xml:space="preserve"> De VVD wil ook in Groningen een vacaturestop: vacatures die ontstaan door pensioen of vertrek worden niet meer opgevuld. Veiligheid en uitvoering vallen daarbuiten: boa’s en handhaving, en de mensen die het werk voor inwoners doen, zoals onderhoud van de openbare ruimte, afvalinzameling en dienstverlening aan het loket, worden wel vervangen. Daarnaast stoot de gemeente taken af. De besparingen op de overhead (26,3 miljoen euro) en op het klimaat- en energiebeleid (6,5 miljoen euro) tellen mee voor deze 15%. De rest, oplopend van 5,2 miljoen euro in 2027 naar 20,9 miljoen euro vanaf 2030, komt uit de vacaturestop en het afstoten van taken in de rest van de organisatie. Omdat de besparing op de overhead al in 2027 wordt gehaald, sneller dan via natuurlijk verloop kan, is in 2027 eenmalig 8,4 miljoen euro aan frictiekosten opgenomen.</w:t>
      </w:r>
    </w:p>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300"/>
        <w:gridCol w:w="1900"/>
        <w:gridCol w:w="1200"/>
        <w:gridCol w:w="1855"/>
      </w:tblGrid>
      <w:tr w:rsidR="0097325D" w:rsidRPr="00DA1D71" w14:paraId="1134CB5F" w14:textId="77777777" w:rsidTr="00C93DD6">
        <w:trPr>
          <w:trHeight w:val="369"/>
          <w:cantSplit/>
        </w:trPr>
        <w:tc>
          <w:tcPr>
            <w:tcW w:w="3300"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pPr>
              <w:keepNext/>
            </w:pPr>
            <w:r>
              <w:rPr>
                <w:b/>
                <w:bCs/>
              </w:rPr>
              <w:t xml:space="preserve">Gemeente</w:t>
            </w:r>
          </w:p>
        </w:tc>
        <w:tc>
          <w:tcPr>
            <w:tcW w:w="1900"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pPr>
              <w:keepNext/>
            </w:pPr>
            <w:r>
              <w:rPr>
                <w:b/>
                <w:bCs/>
              </w:rPr>
              <w:t xml:space="preserve">Fte per 1.000 inwoners</w:t>
            </w:r>
          </w:p>
        </w:tc>
        <w:tc>
          <w:tcPr>
            <w:tcW w:w="120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pPr>
              <w:keepNext/>
            </w:pPr>
            <w:r>
              <w:rPr>
                <w:b/>
                <w:bCs/>
              </w:rPr>
              <w:t xml:space="preserve">Jaar</w:t>
            </w:r>
          </w:p>
        </w:tc>
        <w:tc>
          <w:tcPr>
            <w:tcW w:w="1855"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pPr>
              <w:keepNext/>
            </w:pPr>
            <w:r>
              <w:rPr>
                <w:b/>
                <w:bCs/>
              </w:rPr>
              <w:t xml:space="preserve">Soort cijfer</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Groningen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14,7</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Groningen (doel college)</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13,1</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2027</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Utrecht</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15,1</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Breda</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11,9</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2024</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Eindhoven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9,8</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2026</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Nijmegen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9,0</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Apeldoorn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8,5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2024</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Zwolle</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7,5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2026</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Haarlemmermeer</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7,5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2024</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 na 15% minder</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2030</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voorstel VVD</w:t>
            </w:r>
          </w:p>
        </w:tc>
      </w:tr>
    </w:tbl>
    <w:p>
      <w:pPr>
        <w:pStyle w:val="Hoofdtekst"/>
        <w:spacing w:before="40" w:after="120"/>
      </w:pPr>
      <w:r>
        <w:rPr>
          <w:sz w:val="16"/>
          <w:szCs w:val="16"/>
        </w:rPr>
        <w:t xml:space="preserve">Formatie in fte per 1.000 inwoners: verplichte beleidsindicator uit het Besluit begroting en verantwoording (BBV), zoals de gemeenten die zelf publiceren. Groningen: ontwerpbegroting 2027, wettelijke indicatoren (p. 283); Utrecht: begroting 2027, overzicht verplichte BBV-indicatoren (kolom 2025); Nijmegen: stadsbegroting 2027, indicatoren basisset BBV (kolom 2025); Breda: begroting 2026, programma Organisatie en financiën (realisatie 2024); Haarlemmermeer: jaarstukken 2024; Apeldoorn: jaarstukken 2024 (zoals opgenomen in de vergelijking in de programmabegroting 2025 van Haarlemmermeer); Eindhoven en Zwolle: begroting 2026. Dezelfde indicator staat voor alle gemeenten op waarstaatjegemeente.nl.</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Dat versnelt de bouw. Er zijn dan ook minder ambtenaren voor wonen nodig; die besparing valt binnen de 15% minder ambtenaren en staat daarom niet apart in de tabel.</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0,6 miljoen euro in 2027 en 0,9 miljoen euro per jaar vanaf 2028. De gemeente stoot hierdoor wel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in 2027).</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2"/>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voor werk</w:t>
      </w:r>
      <w:r>
        <w:rPr>
          <w:rFonts w:cs="Times New Roman"/>
          <w:b/>
          <w:bCs/>
        </w:rPr>
        <w:t xml:space="preserve">. </w:t>
      </w:r>
      <w:r>
        <w:rPr>
          <w:rFonts w:cs="Times New Roman"/>
        </w:rPr>
        <w:t xml:space="preserve">De gemeente stopt met het extra werkprogramma voor mensen in de bijstand (0,85 miljoen euro) en met de uitbreiding van Route Arbeid+ voor jongeren uit het praktijk- en speciaal onderwijs (0,35 miljoen euro). Dit zijn tijdelijke extra programma’s bovenop de gewone re-integratie; samen leveren ze in 2027 eenmalig 1,2 miljoen euro op. De jongeren die nu in Route Arbeid+ zitten, houden hun begeleiding. De VVD steekt het geld voor werk liever in het vaste budget: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3"/>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4"/>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5"/>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6"/>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In de begroting staat 0,25 miljoen euro per jaar uit het stedelijk investeringsfonds voor projecten in de Oosterhamrikzone, terwijl de uitvoering onzeker is en de kosten blijven stijgen. De VVD vindt dat de focus moet liggen op haalbare projecten met direct maatschappelijk nut. Daarom schrappen we dit budget.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dat vooral bestaat uit ambtelijke capaciteit; deze besparing telt mee voor de 15% minder ambtenaren.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plannen toe op mobiliteit en ruimte: de uitvoering van de mobiliteitsvisie gaat 55% omlaag en geo en data 15%. Minder ambtenaren voor mobiliteit en wonen valt onder de vacaturestop en de 15% minder ambtenaren. De VVD kiest voor haalbare projecten met direct nut voor inwoners.</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7"/>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8"/>
      </w:r>
      <w:r>
        <w:rPr>
          <w:rFonts w:cs="Times New Roman"/>
        </w:rPr>
        <w:t xml:space="preserve"> Het college wil de OZB in 2027 verhogen met 4,58% en daarbovenop nog eens 5%; de woonlasten voor huiseigenaren stijgen daardoor met 9,57%.</w:t>
      </w:r>
      <w:r>
        <w:rPr>
          <w:rStyle w:val="Voetnootmarkering"/>
          <w:rFonts w:cs="Times New Roman"/>
        </w:rPr>
        <w:footnoteReference w:id="9"/>
      </w:r>
      <w:r>
        <w:rPr>
          <w:rFonts w:cs="Times New Roman"/>
        </w:rPr>
        <w:t xml:space="preserve"> De VVD wil de lasten voor alle Groningers juist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Het college stelt de tweede stap van de reclamebelasting zelf al uit en stelt ondernemers met 2 m² reclame of minder vrij; een evaluatie is er nog niet.</w:t>
      </w:r>
      <w:r>
        <w:rPr>
          <w:rStyle w:val="Voetnootmarkering"/>
          <w:rFonts w:cs="Times New Roman"/>
        </w:rPr>
        <w:footnoteReference w:id="10"/>
      </w:r>
      <w:r>
        <w:rPr>
          <w:rFonts w:cs="Times New Roman"/>
        </w:rPr>
        <w:t xml:space="preserve">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11"/>
      </w:r>
      <w:r>
        <w:rPr>
          <w:rFonts w:cs="Times New Roman"/>
        </w:rPr>
        <w:t xml:space="preserve"> In 2027 wil het college de kortparkeertarieven in de binnenstad, Binnenstad-Oost, de Hortusbuurt en het Stationsgebied nog eens met 20% verhogen.</w:t>
      </w:r>
      <w:r>
        <w:rPr>
          <w:rStyle w:val="Voetnootmarkering"/>
          <w:rFonts w:cs="Times New Roman"/>
        </w:rPr>
        <w:footnoteReference w:id="12"/>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20%</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20%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Dekkend cameratoezicht in de binnenstad en rond het station</w:t>
      </w:r>
      <w:r>
        <w:rPr>
          <w:rFonts w:cs="Times New Roman"/>
          <w:b/>
          <w:bCs/>
        </w:rPr>
        <w:t xml:space="preserve">. </w:t>
      </w:r>
      <w:r>
        <w:rPr>
          <w:rFonts w:cs="Times New Roman"/>
        </w:rPr>
        <w:t xml:space="preserve">De VVD wil dat de hele binnenstad onder cameratoezicht komt en dat er camera’s komen rondom het stationsgebied. De tijdelijke camera’s in het Gele Loper-gebied tussen het Hoofdstation en de Vismarkt</w:t>
      </w:r>
      <w:r>
        <w:rPr>
          <w:rStyle w:val="Voetnootmarkering"/>
          <w:rFonts w:cs="Times New Roman"/>
        </w:rPr>
        <w:footnoteReference w:id="13"/>
      </w:r>
      <w:r>
        <w:rPr>
          <w:rFonts w:cs="Times New Roman"/>
        </w:rPr>
        <w:t xml:space="preserve"> worden daarmee onderdeel van een vast netwerk. De VVD vroeg hier in februari 2026 al om bij de behandeling van de Nachtvisie.</w:t>
      </w:r>
      <w:r>
        <w:rPr>
          <w:rStyle w:val="Voetnootmarkering"/>
          <w:rFonts w:cs="Times New Roman"/>
        </w:rPr>
        <w:footnoteReference w:id="14"/>
      </w:r>
      <w:r>
        <w:rPr>
          <w:rFonts w:cs="Times New Roman"/>
        </w:rPr>
        <w:t xml:space="preserve"> We rekenen met 50 extra camera’s: 35 in de binnenstad en 15 rond het station. Aanschaf en aanleg kosten ongeveer 1,0 miljoen euro, die we in vijf jaar afschrijven; met uitkijken en onderhoud kost dit ongeveer 0,4 miljoen euro per jaar.</w:t>
      </w:r>
      <w:r>
        <w:rPr>
          <w:rStyle w:val="Voetnootmarkering"/>
          <w:rFonts w:cs="Times New Roman"/>
        </w:rPr>
        <w:footnoteReference w:id="15"/>
      </w:r>
      <w:r>
        <w:rPr>
          <w:rFonts w:cs="Times New Roman"/>
        </w:rPr>
        <w:t xml:space="preserve"> Het aanwijzen van gebieden voor cameratoezicht is een bevoegdheid van de burgemeester; de VVD stelt het geld daarvoor beschikbaar.</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16"/>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11,4 miljoen euro, storten we hiervoor. Het structurele overschot loopt op tot 53,4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berekeningen VVD Groningen,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 (onderdeel van de 15% minder ambtenaren)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 (onderdeel van de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Ambtenarenapparaat 15%: vacaturestop en afstoten van taken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5,213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0,565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Cameratoezicht binnenstad en stationsgebied: kapitaallasten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Cameratoezicht binnenstad en stationsgebied: uitkijken en onderhoud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0,192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 (eenmalig)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8,403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11,381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114,945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101,512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80,825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81,071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81,271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8,903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110,414</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80,825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81,071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81,271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11,381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42,083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48,356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53,369</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13,434</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42,083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48,356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53,369</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−2,053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−35,705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−4,988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−4,961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11,381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53,464</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101,82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155,189</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berekend op basis van de Ontwerpbegroting 2027, zonder indexering. Waar een maatregel tijd nodig heeft of gevolgen heeft voor andere budgetten, staat dat als kettingeffect apart in de tabellen. Dat zijn voorzichtige inschattingen: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en minder cultuur iets minder toeristenbelasting. De besparing op het ambtenarenapparaat bedraagt 15% van de loonsom (53,7 miljoen euro in 2030). Daarin tellen de besparingen op de overhead en het klimaat- en energiebeleid mee; de rest groeit in vier gelijke stappen (25%, 50%, 75% en 100%). De frictiekosten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Het Parool, "Gemeente Amsterdam nam sinds vacaturestop tientallen ambtenaren aan", 2026, https://www.parool.nl/amsterdam/gemeente-amsterdam-nam-sinds-vacaturestop-tientallen-ambtenaren-aan~bea34535/; AT5, "Begroting 2027: reorganisatie ambtenaren vertraagd, nauwelijks ruimte voor nieuwe investeringen", oktober 2026, https://www.at5.nl/artikelen/239953/begroting-2027-amsterdam; NH Nieuws, "Amsterdam wil 2.500 ambtenarenbanen schrappen, gedwongen ontslagen niet uitgesloten", 2026, https://www.nhnieuws.nl/nieuws/363300/amsterdam-wil-2500-ambtenarenbanen-schrappen-gedwongen-ontslagen-niet-uitgesloten</w:t>
      </w:r>
    </w:p>
  </w:footnote>
  <w:footnote w:id="2">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3">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4">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5">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6">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9">
    <w:p>
      <w:pPr>
        <w:pStyle w:val="Voetnoottekst"/>
      </w:pPr>
      <w:r>
        <w:rPr>
          <w:rStyle w:val="Voetnootmarkering"/>
        </w:rPr>
        <w:footnoteRef/>
      </w:r>
      <w:r>
        <w:t xml:space="preserve"> Gemeente Groningen, raadsvoorstel "Belastingtarieven 2027" (registratienummer 274695-2026), 1 oktober 2026.</w:t>
      </w:r>
    </w:p>
  </w:footnote>
  <w:footnote w:id="10">
    <w:p>
      <w:pPr>
        <w:pStyle w:val="Voetnoottekst"/>
      </w:pPr>
      <w:r>
        <w:rPr>
          <w:rStyle w:val="Voetnootmarkering"/>
        </w:rPr>
        <w:footnoteRef/>
      </w:r>
      <w:r>
        <w:t xml:space="preserve"> Gemeente Groningen, raadsvoorstel "Belastingtarieven 2027" (registratienummer 274695-2026), 1 oktober 2026.</w:t>
      </w:r>
    </w:p>
  </w:footnote>
  <w:footnote w:id="11">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12">
    <w:p>
      <w:pPr>
        <w:pStyle w:val="Voetnoottekst"/>
      </w:pPr>
      <w:r>
        <w:rPr>
          <w:rStyle w:val="Voetnootmarkering"/>
        </w:rPr>
        <w:footnoteRef/>
      </w:r>
      <w:r>
        <w:t xml:space="preserve"> Gemeente Groningen, raadsvoorstel "Belastingtarieven 2027" (registratienummer 274695-2026), 1 oktober 2026.</w:t>
      </w:r>
    </w:p>
  </w:footnote>
  <w:footnote w:id="13">
    <w:p>
      <w:pPr>
        <w:pStyle w:val="Voetnoottekst"/>
      </w:pPr>
      <w:r>
        <w:rPr>
          <w:rStyle w:val="Voetnootmarkering"/>
        </w:rPr>
        <w:footnoteRef/>
      </w:r>
      <w:r>
        <w:t xml:space="preserve"> RTV Noord, "Gele Loper-gebied in Stad krijgt minimaal jaar cameratoezicht", 2025, https://www.rtvnoord.nl/politiek/1257785/gele-loper-gebied-in-stad-krijgt-minimaal-jaar-cameratoezicht</w:t>
      </w:r>
    </w:p>
  </w:footnote>
  <w:footnote w:id="14">
    <w:p>
      <w:pPr>
        <w:pStyle w:val="Voetnoottekst"/>
      </w:pPr>
      <w:r>
        <w:rPr>
          <w:rStyle w:val="Voetnootmarkering"/>
        </w:rPr>
        <w:footnoteRef/>
      </w:r>
      <w:r>
        <w:t xml:space="preserve"> OOG, "Raad omarmt Nachtvisie, maar binnenstad wordt geen veiligheidsrisicogebied", februari 2026, https://www.oogtv.nl/2026/02/raad-omarmt-nachtvisie-maar-binnenstad-wordt-geen-veiligheidsrisicogebied/</w:t>
      </w:r>
    </w:p>
  </w:footnote>
  <w:footnote w:id="15">
    <w:p>
      <w:pPr>
        <w:pStyle w:val="Voetnoottekst"/>
      </w:pPr>
      <w:r>
        <w:rPr>
          <w:rStyle w:val="Voetnootmarkering"/>
        </w:rPr>
        <w:footnoteRef/>
      </w:r>
      <w:r>
        <w:t xml:space="preserve"> Eenheidsprijzen uit de raadsbrief "Uitbreiding cameratoezicht" van de gemeente Nijmegen: circa € 10.000 per camera en € 9.000 bekabeling, € 3.000 per camera per jaar voor uitkijken en € 15.000 per jaar onderhoud voor 18 camera's. https://nijmegen.bestuurlijkeinformatie.nl/Document/View/c15d46d3-d182-4987-96a0-2639f4fa6560</w:t>
      </w:r>
    </w:p>
  </w:footnote>
  <w:footnote w:id="16">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