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7</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10</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 Middelbos</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Groningen heeft met 14,7 fte per 1.000 inwoners fors meer ambtenaren dan Breda, Eindhoven, Nijmegen, Apeldoorn, Zwolle en Haarlemmermeer; alleen Utrecht zit hoger (zie de tabel hieronder). Met 15% minder komt Groningen uit op ongeveer 12,5 fte per 1.000 inwoners.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Veiligheid en uitvoering vallen daarbuiten: boa’s en handhaving, en de mensen die het werk voor inwoners doen, zoals onderhoud van de openbare ruimte, afvalinzameling en dienstverlening aan het loket, worden wel vervangen.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300"/>
        <w:gridCol w:w="1900"/>
        <w:gridCol w:w="1200"/>
        <w:gridCol w:w="1855"/>
      </w:tblGrid>
      <w:tr w:rsidR="0097325D" w:rsidRPr="00DA1D71" w14:paraId="1134CB5F" w14:textId="77777777" w:rsidTr="00C93DD6">
        <w:trPr>
          <w:trHeight w:val="369"/>
          <w:cantSplit/>
        </w:trPr>
        <w:tc>
          <w:tcPr>
            <w:tcW w:w="3300"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pPr>
              <w:keepNext/>
            </w:pPr>
            <w:r>
              <w:rPr>
                <w:b/>
                <w:bCs/>
              </w:rPr>
              <w:t xml:space="preserve">Gemeente</w:t>
            </w:r>
          </w:p>
        </w:tc>
        <w:tc>
          <w:tcPr>
            <w:tcW w:w="1900"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pPr>
              <w:keepNext/>
            </w:pPr>
            <w:r>
              <w:rPr>
                <w:b/>
                <w:bCs/>
              </w:rPr>
              <w:t xml:space="preserve">Fte per 1.000 inwoners</w:t>
            </w:r>
          </w:p>
        </w:tc>
        <w:tc>
          <w:tcPr>
            <w:tcW w:w="120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pPr>
              <w:keepNext/>
            </w:pPr>
            <w:r>
              <w:rPr>
                <w:b/>
                <w:bCs/>
              </w:rPr>
              <w:t xml:space="preserve">Jaar</w:t>
            </w:r>
          </w:p>
        </w:tc>
        <w:tc>
          <w:tcPr>
            <w:tcW w:w="1855"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pPr>
              <w:keepNext/>
            </w:pPr>
            <w:r>
              <w:rPr>
                <w:b/>
                <w:bCs/>
              </w:rPr>
              <w:t xml:space="preserve">Soort cijfer</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14,7</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 (doel college)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13,1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2027</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Utrecht</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15,1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Breda</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11,9</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Eindhoven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9,8</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Nijmegen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9,0</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Apeldoorn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8,5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Zwolle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7,5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Haarlemmermeer</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7,5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2024</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 na 15% minder</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2030</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voorstel VVD</w:t>
            </w:r>
          </w:p>
        </w:tc>
      </w:tr>
    </w:tbl>
    <w:p>
      <w:pPr>
        <w:pStyle w:val="Hoofdtekst"/>
        <w:spacing w:before="40" w:after="120"/>
      </w:pPr>
      <w:r>
        <w:rPr>
          <w:sz w:val="16"/>
          <w:szCs w:val="16"/>
        </w:rPr>
        <w:t xml:space="preserve">Formatie in fte per 1.000 inwoners: verplichte beleidsindicator uit het Besluit begroting en verantwoording (BBV), zoals de gemeenten die zelf publiceren. Groningen: ontwerpbegroting 2027, wettelijke indicatoren (p. 283); Utrecht: begroting 2027, overzicht verplichte BBV-indicatoren (kolom 2025); Nijmegen: stadsbegroting 2027, indicatoren basisset BBV (kolom 2025); Breda: begroting 2026, programma Organisatie en financiën (realisatie 2024); Haarlemmermeer: jaarstukken 2024; Apeldoorn: jaarstukken 2024 (zoals opgenomen in de vergelijking in de programmabegroting 2025 van Haarlemmermeer); Eindhoven en Zwolle: begroting 2026. Dezelfde indicator staat voor alle gemeenten op waarstaatjegemeente.nl.</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Het college wil de OZB in 2027 verhogen met 4,58% en daarbovenop nog eens 5%; de woonlasten voor huiseigenaren stijgen daardoor met 9,57%.</w:t>
      </w:r>
      <w:r>
        <w:rPr>
          <w:rStyle w:val="Voetnootmarkering"/>
          <w:rFonts w:cs="Times New Roman"/>
        </w:rPr>
        <w:footnoteReference w:id="9"/>
      </w:r>
      <w:r>
        <w:rPr>
          <w:rFonts w:cs="Times New Roman"/>
        </w:rPr>
        <w:t xml:space="preserve"> De VVD wil de lasten voor alle Groningers juist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Het college stelt de tweede stap van de reclamebelasting zelf al uit en stelt ondernemers met 2 m² reclame of minder vrij; een evaluatie is er nog niet.</w:t>
      </w:r>
      <w:r>
        <w:rPr>
          <w:rStyle w:val="Voetnootmarkering"/>
          <w:rFonts w:cs="Times New Roman"/>
        </w:rPr>
        <w:footnoteReference w:id="10"/>
      </w:r>
      <w:r>
        <w:rPr>
          <w:rFonts w:cs="Times New Roman"/>
        </w:rPr>
        <w:t xml:space="preserve">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11"/>
      </w:r>
      <w:r>
        <w:rPr>
          <w:rFonts w:cs="Times New Roman"/>
        </w:rPr>
        <w:t xml:space="preserve"> In 2027 wil het college de kortparkeertarieven in de binnenstad, Binnenstad-Oost, de Hortusbuurt en het Stationsgebied nog eens met 20% verhogen.</w:t>
      </w:r>
      <w:r>
        <w:rPr>
          <w:rStyle w:val="Voetnootmarkering"/>
          <w:rFonts w:cs="Times New Roman"/>
        </w:rPr>
        <w:footnoteReference w:id="12"/>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3"/>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11,8 miljoen euro, storten we hiervoor. Het structurele overschot loopt op tot 53,8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101,106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110,009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13,839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103,022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156,782</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Het Parool, "Gemeente Amsterdam nam sinds vacaturestop tientallen ambtenaren aan", 2026, https://www.parool.nl/amsterdam/gemeente-amsterdam-nam-sinds-vacaturestop-tientallen-ambtenaren-aan~bea34535/;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Gemeente Groningen, raadsvoorstel "Belastingtarieven 2027" (registratienummer 274695-2026), 1 oktober 2026.</w:t>
      </w:r>
    </w:p>
  </w:footnote>
  <w:footnote w:id="10">
    <w:p>
      <w:pPr>
        <w:pStyle w:val="Voetnoottekst"/>
      </w:pPr>
      <w:r>
        <w:rPr>
          <w:rStyle w:val="Voetnootmarkering"/>
        </w:rPr>
        <w:footnoteRef/>
      </w:r>
      <w:r>
        <w:t xml:space="preserve"> Gemeente Groningen, raadsvoorstel "Belastingtarieven 2027" (registratienummer 274695-2026), 1 oktober 2026.</w:t>
      </w:r>
    </w:p>
  </w:footnote>
  <w:footnote w:id="11">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2">
    <w:p>
      <w:pPr>
        <w:pStyle w:val="Voetnoottekst"/>
      </w:pPr>
      <w:r>
        <w:rPr>
          <w:rStyle w:val="Voetnootmarkering"/>
        </w:rPr>
        <w:footnoteRef/>
      </w:r>
      <w:r>
        <w:t xml:space="preserve"> Gemeente Groningen, raadsvoorstel "Belastingtarieven 2027" (registratienummer 274695-2026), 1 oktober 2026.</w:t>
      </w:r>
    </w:p>
  </w:footnote>
  <w:footnote w:id="13">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