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Nemzetközi Ipari Automatizálási és Karbantartási Szerződés</w:t>
      </w:r>
    </w:p>
    <w:tbl>
      <w:tblPr>
        <w:tblW w:type="auto" w:w="0"/>
        <w:jc w:val="center"/>
        <w:tblLook w:firstColumn="1" w:firstRow="1" w:lastColumn="0" w:lastRow="0" w:noHBand="0" w:noVBand="1" w:val="04A0"/>
      </w:tblPr>
      <w:tblGrid>
        <w:gridCol w:w="4320"/>
        <w:gridCol w:w="4320"/>
      </w:tblGrid>
      <w:tr>
        <w:tc>
          <w:tcPr>
            <w:tcW w:type="dxa" w:w="4320"/>
          </w:tcPr>
          <w:p>
            <w:r>
              <w:t>MAGYAR EREDETI</w:t>
            </w:r>
          </w:p>
        </w:tc>
        <w:tc>
          <w:tcPr>
            <w:tcW w:type="dxa" w:w="4320"/>
          </w:tcPr>
          <w:p>
            <w:r>
              <w:t>ANGOL FORDÍTÁS</w:t>
            </w:r>
          </w:p>
        </w:tc>
      </w:tr>
      <w:tr>
        <w:tc>
          <w:tcPr>
            <w:tcW w:type="dxa" w:w="4320"/>
          </w:tcPr>
          <w:p>
            <w:r>
              <w:rPr>
                <w:b/>
              </w:rPr>
              <w:t>1.1. A Szerződés Tárgya</w:t>
              <w:br/>
            </w:r>
            <w:r>
              <w:t>A Vállalkozó kötelezettséget vállal a Megrendelő győri telephelyén működő gyártósorok automatizált vezérlőszoftverének korszerűsítésére és a kapcsolódó hardveres elemek szállítására a műszaki leírás szerint.</w:t>
            </w:r>
          </w:p>
        </w:tc>
        <w:tc>
          <w:tcPr>
            <w:tcW w:type="dxa" w:w="4320"/>
          </w:tcPr>
          <w:p>
            <w:r>
              <w:rPr>
                <w:b/>
              </w:rPr>
              <w:t>1.1. Subject Matter of the Agreement</w:t>
              <w:br/>
            </w:r>
            <w:r>
              <w:t>The Contractor undertakes to modernize the automated control software of the production lines operating at the Client's Győr premises and to deliver the associated hardware components in accordance with the technical specifications.</w:t>
            </w:r>
          </w:p>
        </w:tc>
      </w:tr>
      <w:tr>
        <w:tc>
          <w:tcPr>
            <w:tcW w:type="dxa" w:w="4320"/>
          </w:tcPr>
          <w:p>
            <w:r>
              <w:rPr>
                <w:b/>
              </w:rPr>
              <w:t>2.1. Vállalkozási Díj és Fizetési Feltételek</w:t>
              <w:br/>
            </w:r>
            <w:r>
              <w:t>A felek megállapodnak, hogy a munkadíj összege 45.000 EUR + ÁFA, amely a sikeres átadás-átvételi jegyzőkönyv aláírását követően, 15 napos fizetési határidővel, banki átutalással fizetendő.</w:t>
            </w:r>
          </w:p>
        </w:tc>
        <w:tc>
          <w:tcPr>
            <w:tcW w:type="dxa" w:w="4320"/>
          </w:tcPr>
          <w:p>
            <w:r>
              <w:rPr>
                <w:b/>
              </w:rPr>
              <w:t>2.1. Service Fee and Payment Terms</w:t>
              <w:br/>
            </w:r>
            <w:r>
              <w:t>The parties agree that the fee shall be EUR 45,000 + VAT, payable by wire transfer within 15 days following the mutual execution of the formal handover protocol.</w:t>
            </w:r>
          </w:p>
        </w:tc>
      </w:tr>
      <w:tr>
        <w:tc>
          <w:tcPr>
            <w:tcW w:type="dxa" w:w="4320"/>
          </w:tcPr>
          <w:p>
            <w:r>
              <w:rPr>
                <w:b/>
              </w:rPr>
              <w:t>3.1. Titoktartási Kötelezettség</w:t>
              <w:br/>
            </w:r>
            <w:r>
              <w:t>A felek kötelesek a jelen szerződés teljesítése során tudomásukra jutott minden üzleti, műszaki és pénzügyi információt szigorúan bizalmasan kezelni, és azt harmadik fél részére nem adhatják át.</w:t>
            </w:r>
          </w:p>
        </w:tc>
        <w:tc>
          <w:tcPr>
            <w:tcW w:type="dxa" w:w="4320"/>
          </w:tcPr>
          <w:p>
            <w:r>
              <w:rPr>
                <w:b/>
              </w:rPr>
              <w:t>3.1. Confidentiality Obligation</w:t>
              <w:br/>
            </w:r>
            <w:r>
              <w:t>The parties shall keep strictly confidential all business, technical, and financial information disclosed during the performance of this Agreement and shall not disclose it to any third party.</w:t>
            </w:r>
          </w:p>
        </w:tc>
      </w:tr>
      <w:tr>
        <w:tc>
          <w:tcPr>
            <w:tcW w:type="dxa" w:w="4320"/>
          </w:tcPr>
          <w:p>
            <w:r>
              <w:rPr>
                <w:b/>
              </w:rPr>
              <w:t>4.1. Vis Maior</w:t>
              <w:br/>
            </w:r>
            <w:r>
              <w:t>Egyik fél sem tehető felelőssé olyan kötelezettségszegésért, amelyet az ellenőrzési körén kívül eső elháríthatatlan külső körülmény (vis maior), például háború, sztrájk vagy természeti csapás okozott.</w:t>
            </w:r>
          </w:p>
        </w:tc>
        <w:tc>
          <w:tcPr>
            <w:tcW w:type="dxa" w:w="4320"/>
          </w:tcPr>
          <w:p>
            <w:r>
              <w:rPr>
                <w:b/>
              </w:rPr>
              <w:t>4.1. Force Majeure</w:t>
              <w:br/>
            </w:r>
            <w:r>
              <w:t>Neither party shall be held liable for any breach of obligation caused by unforeseeable events beyond its reasonable control (force majeure), including war, strikes, or natural disasters.</w:t>
            </w:r>
          </w:p>
        </w:tc>
      </w:tr>
      <w:tr>
        <w:tc>
          <w:tcPr>
            <w:tcW w:type="dxa" w:w="4320"/>
          </w:tcPr>
          <w:p>
            <w:r>
              <w:rPr>
                <w:b/>
              </w:rPr>
              <w:t>5.1. Irányadó Nyelv</w:t>
              <w:br/>
            </w:r>
            <w:r>
              <w:t>A jelen szerződés két nyelven (magyar és angol nyelven) készült. A két változat közötti bármely eltérés vagy értelmezési vita esetén a magyar nyelvű szöveg tekintendő irányadónak.</w:t>
            </w:r>
          </w:p>
        </w:tc>
        <w:tc>
          <w:tcPr>
            <w:tcW w:type="dxa" w:w="4320"/>
          </w:tcPr>
          <w:p>
            <w:r>
              <w:rPr>
                <w:b/>
              </w:rPr>
              <w:t>5.1. Governing Language</w:t>
              <w:br/>
            </w:r>
            <w:r>
              <w:t>This Agreement is executed in two languages (Hungarian and English). In case of any discrepancy or dispute of interpretation between the two versions, the Hungarian language version shall prevail.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