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Predictive AI Replication Laboratory</w:t>
      </w:r>
    </w:p>
    <w:p>
      <w:pPr>
        <w:pStyle w:val="Subtitle"/>
      </w:pPr>
      <w:r>
        <w:t xml:space="preserve">ANLY 735 – Research Seminar in Predictive AI</w:t>
      </w:r>
    </w:p>
    <w:p>
      <w:pPr>
        <w:pStyle w:val="Author"/>
      </w:pPr>
      <w:r>
        <w:t xml:space="preserve">Student Name</w:t>
      </w:r>
    </w:p>
    <w:p>
      <w:pPr>
        <w:pStyle w:val="Date"/>
      </w:pPr>
      <w:r>
        <w:t xml:space="preserve">2026-09-27</w:t>
      </w:r>
    </w:p>
    <w:bookmarkStart w:id="9" w:name="study"/>
    <w:p>
      <w:pPr>
        <w:pStyle w:val="Heading1"/>
      </w:pPr>
      <w:r>
        <w:t xml:space="preserve">Study</w:t>
      </w:r>
    </w:p>
    <w:p>
      <w:pPr>
        <w:pStyle w:val="FirstParagraph"/>
      </w:pPr>
      <w:r>
        <w:rPr>
          <w:b/>
          <w:bCs/>
        </w:rPr>
        <w:t xml:space="preserve">Article:</w:t>
      </w:r>
      <w:r>
        <w:t xml:space="preserve"> </w:t>
      </w:r>
      <w:r>
        <w:t xml:space="preserve">Plasticity Loss in Deep Reinforcement Learning: A Survey</w:t>
      </w:r>
    </w:p>
    <w:p>
      <w:pPr>
        <w:pStyle w:val="BodyText"/>
      </w:pPr>
      <w:r>
        <w:rPr>
          <w:b/>
          <w:bCs/>
        </w:rPr>
        <w:t xml:space="preserve">Authors:</w:t>
      </w:r>
      <w:r>
        <w:t xml:space="preserve"> </w:t>
      </w:r>
      <w:r>
        <w:t xml:space="preserve">Timo Klein, Christoph Luther, Manus McAuliffe, Lukas Miklautz, Claudia Plant, and Sebastian Tschiatschek</w:t>
      </w:r>
    </w:p>
    <w:p>
      <w:pPr>
        <w:pStyle w:val="BodyText"/>
      </w:pPr>
      <w:r>
        <w:rPr>
          <w:b/>
          <w:bCs/>
        </w:rPr>
        <w:t xml:space="preserve">DOI/URL:</w:t>
      </w:r>
      <w:r>
        <w:t xml:space="preserve"> </w:t>
      </w:r>
      <w:r>
        <w:t xml:space="preserve">https://arxiv.org/abs/2411.04832</w:t>
      </w:r>
    </w:p>
    <w:p>
      <w:pPr>
        <w:pStyle w:val="BodyText"/>
      </w:pPr>
      <w:r>
        <w:rPr>
          <w:b/>
          <w:bCs/>
        </w:rPr>
        <w:t xml:space="preserve">Replication Type:</w:t>
      </w:r>
      <w:r>
        <w:t xml:space="preserve"> </w:t>
      </w:r>
      <w:r>
        <w:t xml:space="preserve">Proxy</w:t>
      </w:r>
    </w:p>
    <w:p>
      <w:pPr>
        <w:pStyle w:val="BodyText"/>
      </w:pPr>
      <w:r>
        <w:rPr>
          <w:b/>
          <w:bCs/>
        </w:rPr>
        <w:t xml:space="preserve">Computational Environment:</w:t>
      </w:r>
      <w:r>
        <w:t xml:space="preserve"> </w:t>
      </w:r>
      <w:r>
        <w:t xml:space="preserve">Python</w:t>
      </w:r>
    </w:p>
    <w:p>
      <w:pPr>
        <w:pStyle w:val="BodyText"/>
      </w:pPr>
      <w:r>
        <w:rPr>
          <w:b/>
          <w:bCs/>
        </w:rPr>
        <w:t xml:space="preserve">Primary Packages:</w:t>
      </w:r>
      <w:r>
        <w:t xml:space="preserve"> </w:t>
      </w:r>
      <w:r>
        <w:t xml:space="preserve">NumPy, pandas, scikit-learn, Matplotlib</w:t>
      </w:r>
    </w:p>
    <w:p>
      <w:pPr>
        <w:pStyle w:val="BodyText"/>
      </w:pPr>
      <w:r>
        <w:rPr>
          <w:b/>
          <w:bCs/>
        </w:rPr>
        <w:t xml:space="preserve">Random Seed:</w:t>
      </w:r>
      <w:r>
        <w:t xml:space="preserve"> </w:t>
      </w:r>
      <w:r>
        <w:t xml:space="preserve">Model seeds = 42, 43, 44, 45, 46; train/test split seed = 2026; pixel-permutation seed = 735</w:t>
      </w:r>
    </w:p>
    <w:p>
      <w:pPr>
        <w:pStyle w:val="BodyText"/>
      </w:pPr>
      <w:r>
        <w:rPr>
          <w:b/>
          <w:bCs/>
        </w:rPr>
        <w:t xml:space="preserve">Repository:</w:t>
      </w:r>
      <w:r>
        <w:t xml:space="preserve"> </w:t>
      </w:r>
      <w:r>
        <w:t xml:space="preserve">https://github.com/RikinBasu/anly735-replication2.git</w:t>
      </w:r>
    </w:p>
    <w:bookmarkEnd w:id="9"/>
    <w:bookmarkStart w:id="11" w:name="research-claim"/>
    <w:p>
      <w:pPr>
        <w:pStyle w:val="Heading1"/>
      </w:pPr>
      <w:r>
        <w:t xml:space="preserve">1. Research Claim</w:t>
      </w:r>
    </w:p>
    <w:bookmarkStart w:id="10" w:name="Xf94c496ea1685271f21b23edb23a90e0729bb62"/>
    <w:p>
      <w:pPr>
        <w:pStyle w:val="Heading2"/>
      </w:pPr>
      <w:r>
        <w:t xml:space="preserve">What result are you attempting to reproduce?</w:t>
      </w:r>
    </w:p>
    <w:p>
      <w:pPr>
        <w:pStyle w:val="FirstParagraph"/>
      </w:pPr>
      <w:r>
        <w:t xml:space="preserve">Identify one important empirical or computational claim from the assigned paper.</w:t>
      </w:r>
    </w:p>
    <w:p>
      <w:pPr>
        <w:pStyle w:val="BodyText"/>
      </w:pPr>
      <w:r>
        <w:t xml:space="preserve">State:</w:t>
      </w:r>
    </w:p>
    <w:p>
      <w:pPr>
        <w:pStyle w:val="Compact"/>
        <w:numPr>
          <w:ilvl w:val="0"/>
          <w:numId w:val="1001"/>
        </w:numPr>
      </w:pPr>
      <w:r>
        <w:t xml:space="preserve">the result or finding being examined;</w:t>
      </w:r>
    </w:p>
    <w:p>
      <w:pPr>
        <w:pStyle w:val="Compact"/>
        <w:numPr>
          <w:ilvl w:val="0"/>
          <w:numId w:val="1001"/>
        </w:numPr>
      </w:pPr>
      <w:r>
        <w:t xml:space="preserve">the model or analytical approach associated with it;</w:t>
      </w:r>
    </w:p>
    <w:p>
      <w:pPr>
        <w:pStyle w:val="Compact"/>
        <w:numPr>
          <w:ilvl w:val="0"/>
          <w:numId w:val="1001"/>
        </w:numPr>
      </w:pPr>
      <w:r>
        <w:t xml:space="preserve">the evaluation metric(s) used by the authors; and</w:t>
      </w:r>
    </w:p>
    <w:p>
      <w:pPr>
        <w:pStyle w:val="Compact"/>
        <w:numPr>
          <w:ilvl w:val="0"/>
          <w:numId w:val="1001"/>
        </w:numPr>
      </w:pPr>
      <w:r>
        <w:t xml:space="preserve">why this result is important to the paper’s contribution.</w:t>
      </w:r>
    </w:p>
    <w:p>
      <w:pPr>
        <w:pStyle w:val="FirstParagraph"/>
      </w:pPr>
      <w:r>
        <w:t xml:space="preserve">Cite the original study.</w:t>
      </w:r>
    </w:p>
    <w:p>
      <w:pPr>
        <w:pStyle w:val="BodyText"/>
      </w:pPr>
      <w:r>
        <w:t xml:space="preserve">Klein et al. (2026) examine the claim that neural networks can lose plasticity, meaning that prior training may reduce their ability to adapt effectively when the data distribution or learning target changes</w:t>
      </w:r>
      <w:r>
        <w:t xml:space="preserve">(</w:t>
      </w:r>
      <w:r>
        <w:rPr>
          <w:b/>
          <w:bCs/>
        </w:rPr>
        <w:t xml:space="preserve">klein2026plasticity?</w:t>
      </w:r>
      <w:r>
        <w:t xml:space="preserve">)</w:t>
      </w:r>
      <w:r>
        <w:t xml:space="preserve">. Their analytical framework compares the performance of a previously trained network on a later task with the performance of a freshly initialized network trained on that same task. Rather than relying on the immediate performance drop caused by a change, their definition focuses on how well the network can fit the new task after additional optimization. The key evaluation quantity is therefore the difference in final-task loss or performance between the previously trained and fresh models. This result is important because it provides a unified way to define and study plasticity loss across nonstationary learning settings and motivates experiments that examine whether learning capacity is maintained after conditions change.</w:t>
      </w:r>
    </w:p>
    <w:bookmarkEnd w:id="10"/>
    <w:bookmarkEnd w:id="11"/>
    <w:bookmarkStart w:id="13" w:name="replication-strategy"/>
    <w:p>
      <w:pPr>
        <w:pStyle w:val="Heading1"/>
      </w:pPr>
      <w:r>
        <w:t xml:space="preserve">2. Replication Strategy</w:t>
      </w:r>
    </w:p>
    <w:bookmarkStart w:id="12" w:name="how-will-you-investigate-the-claim"/>
    <w:p>
      <w:pPr>
        <w:pStyle w:val="Heading2"/>
      </w:pPr>
      <w:r>
        <w:t xml:space="preserve">How will you investigate the claim?</w:t>
      </w:r>
    </w:p>
    <w:p>
      <w:pPr>
        <w:pStyle w:val="FirstParagraph"/>
      </w:pPr>
      <w:r>
        <w:t xml:space="preserve">Identify your replication as:</w:t>
      </w:r>
    </w:p>
    <w:p>
      <w:pPr>
        <w:pStyle w:val="Compact"/>
        <w:numPr>
          <w:ilvl w:val="0"/>
          <w:numId w:val="1002"/>
        </w:numPr>
      </w:pPr>
      <w:r>
        <w:rPr>
          <w:b/>
          <w:bCs/>
        </w:rPr>
        <w:t xml:space="preserve">Direct</w:t>
      </w:r>
      <w:r>
        <w:t xml:space="preserve"> </w:t>
      </w:r>
      <w:r>
        <w:t xml:space="preserve">— using the original data/code;</w:t>
      </w:r>
    </w:p>
    <w:p>
      <w:pPr>
        <w:pStyle w:val="Compact"/>
        <w:numPr>
          <w:ilvl w:val="0"/>
          <w:numId w:val="1002"/>
        </w:numPr>
      </w:pPr>
      <w:r>
        <w:rPr>
          <w:b/>
          <w:bCs/>
        </w:rPr>
        <w:t xml:space="preserve">Partial</w:t>
      </w:r>
      <w:r>
        <w:t xml:space="preserve"> </w:t>
      </w:r>
      <w:r>
        <w:t xml:space="preserve">— using some original materials; or</w:t>
      </w:r>
    </w:p>
    <w:p>
      <w:pPr>
        <w:pStyle w:val="Compact"/>
        <w:numPr>
          <w:ilvl w:val="0"/>
          <w:numId w:val="1002"/>
        </w:numPr>
      </w:pPr>
      <w:r>
        <w:rPr>
          <w:b/>
          <w:bCs/>
        </w:rPr>
        <w:t xml:space="preserve">Proxy</w:t>
      </w:r>
      <w:r>
        <w:t xml:space="preserve"> </w:t>
      </w:r>
      <w:r>
        <w:t xml:space="preserve">— using comparable data and methods when original materials are unavailable.</w:t>
      </w:r>
    </w:p>
    <w:p>
      <w:pPr>
        <w:pStyle w:val="FirstParagraph"/>
      </w:pPr>
      <w:r>
        <w:t xml:space="preserve">Briefly explain:</w:t>
      </w:r>
    </w:p>
    <w:p>
      <w:pPr>
        <w:pStyle w:val="Compact"/>
        <w:numPr>
          <w:ilvl w:val="0"/>
          <w:numId w:val="1003"/>
        </w:numPr>
      </w:pPr>
      <w:r>
        <w:t xml:space="preserve">what materials are available;</w:t>
      </w:r>
    </w:p>
    <w:p>
      <w:pPr>
        <w:pStyle w:val="Compact"/>
        <w:numPr>
          <w:ilvl w:val="0"/>
          <w:numId w:val="1003"/>
        </w:numPr>
      </w:pPr>
      <w:r>
        <w:t xml:space="preserve">what you will reproduce;</w:t>
      </w:r>
    </w:p>
    <w:p>
      <w:pPr>
        <w:pStyle w:val="Compact"/>
        <w:numPr>
          <w:ilvl w:val="0"/>
          <w:numId w:val="1003"/>
        </w:numPr>
      </w:pPr>
      <w:r>
        <w:t xml:space="preserve">what must differ from the original study; and</w:t>
      </w:r>
    </w:p>
    <w:p>
      <w:pPr>
        <w:pStyle w:val="Compact"/>
        <w:numPr>
          <w:ilvl w:val="0"/>
          <w:numId w:val="1003"/>
        </w:numPr>
      </w:pPr>
      <w:r>
        <w:t xml:space="preserve">why your approach provides a meaningful test or learning experience.</w:t>
      </w:r>
    </w:p>
    <w:p>
      <w:pPr>
        <w:pStyle w:val="FirstParagraph"/>
      </w:pPr>
      <w:r>
        <w:t xml:space="preserve">[Write approximately 100–150 words.]</w:t>
      </w:r>
    </w:p>
    <w:p>
      <w:pPr>
        <w:pStyle w:val="BodyText"/>
      </w:pPr>
      <w:r>
        <w:t xml:space="preserve">This study uses a proxy replication because Klein et al. (2026) is a survey rather than a primary empirical study with one original dataset, model, and codebase to reproduce</w:t>
      </w:r>
      <w:r>
        <w:t xml:space="preserve">(</w:t>
      </w:r>
      <w:r>
        <w:rPr>
          <w:b/>
          <w:bCs/>
        </w:rPr>
        <w:t xml:space="preserve">klein2026plasticity?</w:t>
      </w:r>
      <w:r>
        <w:t xml:space="preserve">)</w:t>
      </w:r>
      <w:r>
        <w:t xml:space="preserve">. The available materials include the survey’s definition and discussion of plasticity loss, including comparisons between previously trained and freshly initialized networks under changing conditions. The replication therefore tests the broader phenomenon rather than attempting to match a reported numerical result. A small neural-network classifier is trained on the scikit-learn Digits dataset, then exposed to a fixed pixel-permutation shift. Its post-change learning trajectory is compared with a freshly initialized model trained under the same new condition. This differs from the deep reinforcement-learning settings reviewed by Klein et al., but provides a controlled way to test whether prior training affects subsequent learning capacity</w:t>
      </w:r>
      <w:r>
        <w:t xml:space="preserve">(</w:t>
      </w:r>
      <w:r>
        <w:rPr>
          <w:b/>
          <w:bCs/>
        </w:rPr>
        <w:t xml:space="preserve">klein2026plasticity?</w:t>
      </w:r>
      <w:r>
        <w:t xml:space="preserve">)</w:t>
      </w:r>
      <w:r>
        <w:t xml:space="preserve">.</w:t>
      </w:r>
    </w:p>
    <w:bookmarkEnd w:id="12"/>
    <w:bookmarkEnd w:id="13"/>
    <w:bookmarkStart w:id="14" w:name="data"/>
    <w:p>
      <w:pPr>
        <w:pStyle w:val="Heading1"/>
      </w:pPr>
      <w:r>
        <w:t xml:space="preserve">3. Data</w:t>
      </w:r>
    </w:p>
    <w:p>
      <w:pPr>
        <w:pStyle w:val="FirstParagraph"/>
      </w:pPr>
      <w:r>
        <w:t xml:space="preserve">Describe the data used for the replication.</w:t>
      </w:r>
    </w:p>
    <w:p>
      <w:pPr>
        <w:pStyle w:val="BodyText"/>
      </w:pPr>
      <w:r>
        <w:t xml:space="preserve">Include:</w:t>
      </w:r>
    </w:p>
    <w:p>
      <w:pPr>
        <w:pStyle w:val="Compact"/>
        <w:numPr>
          <w:ilvl w:val="0"/>
          <w:numId w:val="1004"/>
        </w:numPr>
      </w:pPr>
      <w:r>
        <w:t xml:space="preserve">data source;</w:t>
      </w:r>
    </w:p>
    <w:p>
      <w:pPr>
        <w:pStyle w:val="Compact"/>
        <w:numPr>
          <w:ilvl w:val="0"/>
          <w:numId w:val="1004"/>
        </w:numPr>
      </w:pPr>
      <w:r>
        <w:t xml:space="preserve">unit of analysis;</w:t>
      </w:r>
    </w:p>
    <w:p>
      <w:pPr>
        <w:pStyle w:val="Compact"/>
        <w:numPr>
          <w:ilvl w:val="0"/>
          <w:numId w:val="1004"/>
        </w:numPr>
      </w:pPr>
      <w:r>
        <w:t xml:space="preserve">target/outcome variable;</w:t>
      </w:r>
    </w:p>
    <w:p>
      <w:pPr>
        <w:pStyle w:val="Compact"/>
        <w:numPr>
          <w:ilvl w:val="0"/>
          <w:numId w:val="1004"/>
        </w:numPr>
      </w:pPr>
      <w:r>
        <w:t xml:space="preserve">important predictors/features;</w:t>
      </w:r>
    </w:p>
    <w:p>
      <w:pPr>
        <w:pStyle w:val="Compact"/>
        <w:numPr>
          <w:ilvl w:val="0"/>
          <w:numId w:val="1004"/>
        </w:numPr>
      </w:pPr>
      <w:r>
        <w:t xml:space="preserve">sample size, when applicable;</w:t>
      </w:r>
    </w:p>
    <w:p>
      <w:pPr>
        <w:pStyle w:val="Compact"/>
        <w:numPr>
          <w:ilvl w:val="0"/>
          <w:numId w:val="1004"/>
        </w:numPr>
      </w:pPr>
      <w:r>
        <w:t xml:space="preserve">preprocessing decisions; and</w:t>
      </w:r>
    </w:p>
    <w:p>
      <w:pPr>
        <w:pStyle w:val="Compact"/>
        <w:numPr>
          <w:ilvl w:val="0"/>
          <w:numId w:val="1004"/>
        </w:numPr>
      </w:pPr>
      <w:r>
        <w:t xml:space="preserve">important differences from the original data.</w:t>
      </w:r>
    </w:p>
    <w:p>
      <w:pPr>
        <w:pStyle w:val="FirstParagraph"/>
      </w:pPr>
      <w:r>
        <w:t xml:space="preserve">Do not include restricted, confidential, or personally identifiable data in the repository.</w:t>
      </w:r>
    </w:p>
    <w:p>
      <w:pPr>
        <w:pStyle w:val="BodyText"/>
      </w:pPr>
      <w:r>
        <w:t xml:space="preserve">[Write approximately 100–150 words.]</w:t>
      </w:r>
    </w:p>
    <w:p>
      <w:pPr>
        <w:pStyle w:val="BodyText"/>
      </w:pPr>
      <w:r>
        <w:t xml:space="preserve">he proxy replication uses the scikit-learn Digits dataset, which contains 1,797 handwritten digit images. Each observation is one 8 × 8 grayscale image represented by 64 pixel-value features, and the target variable is the digit class from 0 through 9. The data were divided into 75% training and 25% testing sets using stratified sampling so that class proportions were preserved. Pixel values, originally ranging from 0 to 16, were scaled to approximately 0–1 by dividing by 16. To create the nonstationary Condition B, the same fixed permutation was applied to all 64 pixel positions while keeping the class labels unchanged. Unlike the deep reinforcement-learning environments emphasized by Klein et al., this experiment uses a small supervised image-classification dataset with an artificially introduced input-distribution shift</w:t>
      </w:r>
      <w:r>
        <w:t xml:space="preserve">(</w:t>
      </w:r>
      <w:r>
        <w:rPr>
          <w:b/>
          <w:bCs/>
        </w:rPr>
        <w:t xml:space="preserve">klein2026plasticity?</w:t>
      </w:r>
      <w:r>
        <w:t xml:space="preserve">)</w:t>
      </w:r>
      <w:r>
        <w:t xml:space="preserve">.</w:t>
      </w:r>
    </w:p>
    <w:bookmarkEnd w:id="14"/>
    <w:bookmarkStart w:id="15" w:name="method"/>
    <w:p>
      <w:pPr>
        <w:pStyle w:val="Heading1"/>
      </w:pPr>
      <w:r>
        <w:t xml:space="preserve">4. Method</w:t>
      </w:r>
    </w:p>
    <w:p>
      <w:pPr>
        <w:pStyle w:val="FirstParagraph"/>
      </w:pPr>
      <w:r>
        <w:t xml:space="preserve">Describe the computational approach used in your replication.</w:t>
      </w:r>
    </w:p>
    <w:p>
      <w:pPr>
        <w:pStyle w:val="BodyText"/>
      </w:pPr>
      <w:r>
        <w:t xml:space="preserve">Include, as appropriate:</w:t>
      </w:r>
    </w:p>
    <w:p>
      <w:pPr>
        <w:pStyle w:val="Compact"/>
        <w:numPr>
          <w:ilvl w:val="0"/>
          <w:numId w:val="1005"/>
        </w:numPr>
      </w:pPr>
      <w:r>
        <w:t xml:space="preserve">model or algorithm;</w:t>
      </w:r>
    </w:p>
    <w:p>
      <w:pPr>
        <w:pStyle w:val="Compact"/>
        <w:numPr>
          <w:ilvl w:val="0"/>
          <w:numId w:val="1005"/>
        </w:numPr>
      </w:pPr>
      <w:r>
        <w:t xml:space="preserve">train/test or validation strategy;</w:t>
      </w:r>
    </w:p>
    <w:p>
      <w:pPr>
        <w:pStyle w:val="Compact"/>
        <w:numPr>
          <w:ilvl w:val="0"/>
          <w:numId w:val="1005"/>
        </w:numPr>
      </w:pPr>
      <w:r>
        <w:t xml:space="preserve">baseline/comparison model;</w:t>
      </w:r>
    </w:p>
    <w:p>
      <w:pPr>
        <w:pStyle w:val="Compact"/>
        <w:numPr>
          <w:ilvl w:val="0"/>
          <w:numId w:val="1005"/>
        </w:numPr>
      </w:pPr>
      <w:r>
        <w:t xml:space="preserve">hyperparameters;</w:t>
      </w:r>
    </w:p>
    <w:p>
      <w:pPr>
        <w:pStyle w:val="Compact"/>
        <w:numPr>
          <w:ilvl w:val="0"/>
          <w:numId w:val="1005"/>
        </w:numPr>
      </w:pPr>
      <w:r>
        <w:t xml:space="preserve">preprocessing or feature engineering;</w:t>
      </w:r>
    </w:p>
    <w:p>
      <w:pPr>
        <w:pStyle w:val="Compact"/>
        <w:numPr>
          <w:ilvl w:val="0"/>
          <w:numId w:val="1005"/>
        </w:numPr>
      </w:pPr>
      <w:r>
        <w:t xml:space="preserve">random seed; and</w:t>
      </w:r>
    </w:p>
    <w:p>
      <w:pPr>
        <w:pStyle w:val="Compact"/>
        <w:numPr>
          <w:ilvl w:val="0"/>
          <w:numId w:val="1005"/>
        </w:numPr>
      </w:pPr>
      <w:r>
        <w:t xml:space="preserve">software/packages used.</w:t>
      </w:r>
    </w:p>
    <w:p>
      <w:pPr>
        <w:pStyle w:val="FirstParagraph"/>
      </w:pPr>
      <w:r>
        <w:t xml:space="preserve">The goal is to provide enough information for another researcher to understand how the analysis was conducted.</w:t>
      </w:r>
    </w:p>
    <w:p>
      <w:pPr>
        <w:pStyle w:val="BodyText"/>
      </w:pPr>
      <w:r>
        <w:t xml:space="preserve">[Write approximately 150–200 words.]</w:t>
      </w:r>
    </w:p>
    <w:p>
      <w:pPr>
        <w:pStyle w:val="BodyText"/>
      </w:pPr>
      <w:r>
        <w:t xml:space="preserve">The experiment used a feed-forward neural network implemented with scikit-learn’s MLPClassifier. The network contained one hidden layer with 64 ReLU units and was trained with stochastic gradient descent using a learning rate of 0.05, batch size of 64, L2 regularization (alpha = 0.0001), and zero momentum. The Digits data were divided into 75% training and 25% testing sets using stratified sampling with split seed 2026. The warm model was first trained for 40 epochs on the original images (Condition A). A fixed pixel permutation generated Condition B, after which the same model continued training for 30 additional epochs. A freshly initialized model with the same architecture and hyperparameters was trained on Condition B as the comparison baseline. Both models received the same Condition B examples in the same order. The experiment was repeated using model seeds 42–46, while the pixel permutation remained fixed with seed 735. Post-change accuracy was recorded after each epoch. Python was used with NumPy, pandas, scikit-learn, and Matplotlib.</w:t>
      </w:r>
    </w:p>
    <w:bookmarkEnd w:id="15"/>
    <w:bookmarkStart w:id="16" w:name="results"/>
    <w:p>
      <w:pPr>
        <w:pStyle w:val="Heading1"/>
      </w:pPr>
      <w:r>
        <w:t xml:space="preserve">5. Results</w:t>
      </w:r>
    </w:p>
    <w:p>
      <w:pPr>
        <w:pStyle w:val="FirstParagraph"/>
      </w:pPr>
      <w:r>
        <w:t xml:space="preserve">Present the main results of your replication.</w:t>
      </w:r>
    </w:p>
    <w:p>
      <w:pPr>
        <w:pStyle w:val="BodyText"/>
      </w:pPr>
      <w:r>
        <w:t xml:space="preserve">Include at least one appropriate:</w:t>
      </w:r>
    </w:p>
    <w:p>
      <w:pPr>
        <w:pStyle w:val="Compact"/>
        <w:numPr>
          <w:ilvl w:val="0"/>
          <w:numId w:val="1006"/>
        </w:numPr>
      </w:pPr>
      <w:r>
        <w:t xml:space="preserve">table,</w:t>
      </w:r>
    </w:p>
    <w:p>
      <w:pPr>
        <w:pStyle w:val="Compact"/>
        <w:numPr>
          <w:ilvl w:val="0"/>
          <w:numId w:val="1006"/>
        </w:numPr>
      </w:pPr>
      <w:r>
        <w:t xml:space="preserve">figure, or</w:t>
      </w:r>
    </w:p>
    <w:p>
      <w:pPr>
        <w:pStyle w:val="Compact"/>
        <w:numPr>
          <w:ilvl w:val="0"/>
          <w:numId w:val="1006"/>
        </w:numPr>
      </w:pPr>
      <w:r>
        <w:t xml:space="preserve">model-performance summary</w:t>
      </w:r>
    </w:p>
    <w:p>
      <w:pPr>
        <w:pStyle w:val="FirstParagraph"/>
      </w:pPr>
      <w:r>
        <w:t xml:space="preserve">generated directly from your analysis when appropriate.</w:t>
      </w:r>
    </w:p>
    <w:p>
      <w:pPr>
        <w:pStyle w:val="BodyText"/>
      </w:pPr>
      <w:r>
        <w:t xml:space="preserve">Report the same evaluation metric used by the original authors whenever possible.</w:t>
      </w:r>
    </w:p>
    <w:p>
      <w:pPr>
        <w:pStyle w:val="BodyText"/>
      </w:pPr>
      <w:r>
        <w:t xml:space="preserve">Do not simply present output. Explain what the result means.</w:t>
      </w:r>
    </w:p>
    <w:p>
      <w:pPr>
        <w:pStyle w:val="BodyText"/>
      </w:pPr>
      <w:r>
        <w:t xml:space="preserve">[Insert results and approximately 100–150 words of interpretation.]</w:t>
      </w:r>
    </w:p>
    <w:p>
      <w:pPr>
        <w:pStyle w:val="BodyText"/>
      </w:pPr>
      <w:r>
        <w:t xml:space="preserve">![Condition B learning trajectories for the warm and fresh models. Lines show mean accuracy across five random seeds.]</w:t>
      </w:r>
      <w:r>
        <w:t xml:space="preserve"> </w:t>
      </w:r>
      <w:r>
        <w:t xml:space="preserve">(figures/lab02_condition_b_learning.png){width=85%}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w:t>
            </w:r>
          </w:p>
        </w:tc>
        <w:tc>
          <w:tcPr/>
          <w:p>
            <w:pPr>
              <w:pStyle w:val="Compact"/>
              <w:jc w:val="right"/>
            </w:pPr>
            <w:r>
              <w:t xml:space="preserve">Warm Model</w:t>
            </w:r>
          </w:p>
        </w:tc>
        <w:tc>
          <w:tcPr/>
          <w:p>
            <w:pPr>
              <w:pStyle w:val="Compact"/>
              <w:jc w:val="right"/>
            </w:pPr>
            <w:r>
              <w:t xml:space="preserve">Fresh Model</w:t>
            </w:r>
          </w:p>
        </w:tc>
      </w:tr>
      <w:tr>
        <w:tc>
          <w:tcPr/>
          <w:p>
            <w:pPr>
              <w:pStyle w:val="Compact"/>
            </w:pPr>
            <w:r>
              <w:t xml:space="preserve">Condition B accuracy at epoch 5</w:t>
            </w:r>
          </w:p>
        </w:tc>
        <w:tc>
          <w:tcPr/>
          <w:p>
            <w:pPr>
              <w:pStyle w:val="Compact"/>
              <w:jc w:val="right"/>
            </w:pPr>
            <w:r>
              <w:t xml:space="preserve">78.62%</w:t>
            </w:r>
          </w:p>
        </w:tc>
        <w:tc>
          <w:tcPr/>
          <w:p>
            <w:pPr>
              <w:pStyle w:val="Compact"/>
              <w:jc w:val="right"/>
            </w:pPr>
            <w:r>
              <w:t xml:space="preserve">80.22%</w:t>
            </w:r>
          </w:p>
        </w:tc>
      </w:tr>
      <w:tr>
        <w:tc>
          <w:tcPr/>
          <w:p>
            <w:pPr>
              <w:pStyle w:val="Compact"/>
            </w:pPr>
            <w:r>
              <w:t xml:space="preserve">Early learning slope</w:t>
            </w:r>
          </w:p>
        </w:tc>
        <w:tc>
          <w:tcPr/>
          <w:p>
            <w:pPr>
              <w:pStyle w:val="Compact"/>
              <w:jc w:val="right"/>
            </w:pPr>
            <w:r>
              <w:t xml:space="preserve">0.1115</w:t>
            </w:r>
          </w:p>
        </w:tc>
        <w:tc>
          <w:tcPr/>
          <w:p>
            <w:pPr>
              <w:pStyle w:val="Compact"/>
              <w:jc w:val="right"/>
            </w:pPr>
            <w:r>
              <w:t xml:space="preserve">0.1016</w:t>
            </w:r>
          </w:p>
        </w:tc>
      </w:tr>
      <w:tr>
        <w:tc>
          <w:tcPr/>
          <w:p>
            <w:pPr>
              <w:pStyle w:val="Compact"/>
            </w:pPr>
            <w:r>
              <w:t xml:space="preserve">Epochs to 90% accuracy</w:t>
            </w:r>
          </w:p>
        </w:tc>
        <w:tc>
          <w:tcPr/>
          <w:p>
            <w:pPr>
              <w:pStyle w:val="Compact"/>
              <w:jc w:val="right"/>
            </w:pPr>
            <w:r>
              <w:t xml:space="preserve">13.0</w:t>
            </w:r>
          </w:p>
        </w:tc>
        <w:tc>
          <w:tcPr/>
          <w:p>
            <w:pPr>
              <w:pStyle w:val="Compact"/>
              <w:jc w:val="right"/>
            </w:pPr>
            <w:r>
              <w:t xml:space="preserve">11.2</w:t>
            </w:r>
          </w:p>
        </w:tc>
      </w:tr>
      <w:tr>
        <w:tc>
          <w:tcPr/>
          <w:p>
            <w:pPr>
              <w:pStyle w:val="Compact"/>
            </w:pPr>
            <w:r>
              <w:t xml:space="preserve">Mean Condition B accuracy</w:t>
            </w:r>
          </w:p>
        </w:tc>
        <w:tc>
          <w:tcPr/>
          <w:p>
            <w:pPr>
              <w:pStyle w:val="Compact"/>
              <w:jc w:val="right"/>
            </w:pPr>
            <w:r>
              <w:t xml:space="preserve">85.72%</w:t>
            </w:r>
          </w:p>
        </w:tc>
        <w:tc>
          <w:tcPr/>
          <w:p>
            <w:pPr>
              <w:pStyle w:val="Compact"/>
              <w:jc w:val="right"/>
            </w:pPr>
            <w:r>
              <w:t xml:space="preserve">86.28%</w:t>
            </w:r>
          </w:p>
        </w:tc>
      </w:tr>
      <w:tr>
        <w:tc>
          <w:tcPr/>
          <w:p>
            <w:pPr>
              <w:pStyle w:val="Compact"/>
            </w:pPr>
            <w:r>
              <w:t xml:space="preserve">Final Condition B accuracy</w:t>
            </w:r>
          </w:p>
        </w:tc>
        <w:tc>
          <w:tcPr/>
          <w:p>
            <w:pPr>
              <w:pStyle w:val="Compact"/>
              <w:jc w:val="right"/>
            </w:pPr>
            <w:r>
              <w:t xml:space="preserve">93.24%</w:t>
            </w:r>
          </w:p>
        </w:tc>
        <w:tc>
          <w:tcPr/>
          <w:p>
            <w:pPr>
              <w:pStyle w:val="Compact"/>
              <w:jc w:val="right"/>
            </w:pPr>
            <w:r>
              <w:t xml:space="preserve">92.89%</w:t>
            </w:r>
          </w:p>
        </w:tc>
      </w:tr>
    </w:tbl>
    <w:p>
      <w:pPr>
        <w:pStyle w:val="BodyText"/>
      </w:pPr>
      <w:r>
        <w:t xml:space="preserve">Before the change, the warm model averaged 93.91% accuracy on Condition A. Its accuracy on Condition B immediately after the pixel permutation fell to 7.60%, confirming that the distribution shift was substantial. However, this drop alone does not indicate plasticity loss. During subsequent training, both models learned Condition B successfully. The fresh model reached 90% accuracy somewhat sooner (11.2 versus 13.0 epochs) and had slightly higher mean post-change accuracy (86.28% versus 85.72%). In contrast, the warm model had a slightly steeper early learning slope and slightly higher final accuracy (93.24% versus 92.89%). Overall, the post-change trajectories were very similar, providing little evidence that prior training substantially reduced the warm model’s capacity to learn the changed condition.</w:t>
      </w:r>
    </w:p>
    <w:bookmarkEnd w:id="16"/>
    <w:bookmarkStart w:id="18" w:name="compare"/>
    <w:p>
      <w:pPr>
        <w:pStyle w:val="Heading1"/>
      </w:pPr>
      <w:r>
        <w:t xml:space="preserve">6. Compare</w:t>
      </w:r>
    </w:p>
    <w:bookmarkStart w:id="17" w:name="Xef0f041254bf7831e620c1a9fa4825273df2a24"/>
    <w:p>
      <w:pPr>
        <w:pStyle w:val="Heading2"/>
      </w:pPr>
      <w:r>
        <w:t xml:space="preserve">How closely did your results align with the original study?</w:t>
      </w:r>
    </w:p>
    <w:p>
      <w:pPr>
        <w:pStyle w:val="FirstParagraph"/>
      </w:pPr>
      <w:r>
        <w:t xml:space="preserve">Compare your result with the authors’ reported result.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jc w:val="right"/>
            </w:pPr>
            <w:r>
              <w:t xml:space="preserve">Original Study</w:t>
            </w:r>
          </w:p>
        </w:tc>
        <w:tc>
          <w:tcPr/>
          <w:p>
            <w:pPr>
              <w:pStyle w:val="Compact"/>
              <w:jc w:val="right"/>
            </w:pPr>
            <w:r>
              <w:t xml:space="preserve">Replication</w:t>
            </w:r>
          </w:p>
        </w:tc>
      </w:tr>
      <w:tr>
        <w:tc>
          <w:tcPr/>
          <w:p>
            <w:pPr>
              <w:pStyle w:val="Compact"/>
            </w:pPr>
            <w:r>
              <w:t xml:space="preserve">Primary metric</w:t>
            </w:r>
          </w:p>
        </w:tc>
        <w:tc>
          <w:tcPr/>
          <w:p>
            <w:pPr>
              <w:pStyle w:val="Compact"/>
              <w:jc w:val="right"/>
            </w:pPr>
            <w:r>
              <w:t xml:space="preserve">[value]</w:t>
            </w:r>
          </w:p>
        </w:tc>
        <w:tc>
          <w:tcPr/>
          <w:p>
            <w:pPr>
              <w:pStyle w:val="Compact"/>
              <w:jc w:val="right"/>
            </w:pPr>
            <w:r>
              <w:t xml:space="preserve">[value]</w:t>
            </w:r>
          </w:p>
        </w:tc>
      </w:tr>
      <w:tr>
        <w:tc>
          <w:tcPr/>
          <w:p>
            <w:pPr>
              <w:pStyle w:val="Compact"/>
            </w:pPr>
            <w:r>
              <w:t xml:space="preserve">Secondary metric, if applicable</w:t>
            </w:r>
          </w:p>
        </w:tc>
        <w:tc>
          <w:tcPr/>
          <w:p>
            <w:pPr>
              <w:pStyle w:val="Compact"/>
              <w:jc w:val="right"/>
            </w:pPr>
            <w:r>
              <w:t xml:space="preserve">[value]</w:t>
            </w:r>
          </w:p>
        </w:tc>
        <w:tc>
          <w:tcPr/>
          <w:p>
            <w:pPr>
              <w:pStyle w:val="Compact"/>
              <w:jc w:val="right"/>
            </w:pPr>
            <w:r>
              <w:t xml:space="preserve">[value]</w:t>
            </w:r>
          </w:p>
        </w:tc>
      </w:tr>
    </w:tbl>
    <w:p>
      <w:pPr>
        <w:pStyle w:val="BodyText"/>
      </w:pPr>
      <w:r>
        <w:t xml:space="preserve">Then interpret the comparison.</w:t>
      </w:r>
    </w:p>
    <w:p>
      <w:pPr>
        <w:pStyle w:val="BodyText"/>
      </w:pPr>
      <w:r>
        <w:t xml:space="preserve">Consider:</w:t>
      </w:r>
    </w:p>
    <w:p>
      <w:pPr>
        <w:pStyle w:val="Compact"/>
        <w:numPr>
          <w:ilvl w:val="0"/>
          <w:numId w:val="1007"/>
        </w:numPr>
      </w:pPr>
      <w:r>
        <w:t xml:space="preserve">Was the result reproduced?</w:t>
      </w:r>
    </w:p>
    <w:p>
      <w:pPr>
        <w:pStyle w:val="Compact"/>
        <w:numPr>
          <w:ilvl w:val="0"/>
          <w:numId w:val="1007"/>
        </w:numPr>
      </w:pPr>
      <w:r>
        <w:t xml:space="preserve">Was the direction of the finding consistent?</w:t>
      </w:r>
    </w:p>
    <w:p>
      <w:pPr>
        <w:pStyle w:val="Compact"/>
        <w:numPr>
          <w:ilvl w:val="0"/>
          <w:numId w:val="1007"/>
        </w:numPr>
      </w:pPr>
      <w:r>
        <w:t xml:space="preserve">Was model performance similar?</w:t>
      </w:r>
    </w:p>
    <w:p>
      <w:pPr>
        <w:pStyle w:val="Compact"/>
        <w:numPr>
          <w:ilvl w:val="0"/>
          <w:numId w:val="1007"/>
        </w:numPr>
      </w:pPr>
      <w:r>
        <w:t xml:space="preserve">What might explain differences?</w:t>
      </w:r>
    </w:p>
    <w:p>
      <w:pPr>
        <w:pStyle w:val="FirstParagraph"/>
      </w:pPr>
      <w:r>
        <w:t xml:space="preserve">For proxy replications, focus on whether the analytical pattern or methodological insight was reproduced rather than expecting identical numerical results.</w:t>
      </w:r>
    </w:p>
    <w:p>
      <w:pPr>
        <w:pStyle w:val="BodyText"/>
      </w:pPr>
      <w:r>
        <w:t xml:space="preserve">[Write approximately 150–200 words.]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Evidence</w:t>
            </w:r>
          </w:p>
        </w:tc>
        <w:tc>
          <w:tcPr/>
          <w:p>
            <w:pPr>
              <w:pStyle w:val="Compact"/>
            </w:pPr>
            <w:r>
              <w:t xml:space="preserve">Original Study</w:t>
            </w:r>
          </w:p>
        </w:tc>
        <w:tc>
          <w:tcPr/>
          <w:p>
            <w:pPr>
              <w:pStyle w:val="Compact"/>
            </w:pPr>
            <w:r>
              <w:t xml:space="preserve">Replication</w:t>
            </w:r>
          </w:p>
        </w:tc>
      </w:tr>
      <w:tr>
        <w:tc>
          <w:tcPr/>
          <w:p>
            <w:pPr>
              <w:pStyle w:val="Compact"/>
            </w:pPr>
            <w:r>
              <w:t xml:space="preserve">Post-change learning capacity</w:t>
            </w:r>
          </w:p>
        </w:tc>
        <w:tc>
          <w:tcPr/>
          <w:p>
            <w:pPr>
              <w:pStyle w:val="Compact"/>
            </w:pPr>
            <w:r>
              <w:t xml:space="preserve">Previously trained networks may show reduced ability to fit a new task relative to a fresh model</w:t>
            </w:r>
          </w:p>
        </w:tc>
        <w:tc>
          <w:tcPr/>
          <w:p>
            <w:pPr>
              <w:pStyle w:val="Compact"/>
            </w:pPr>
            <w:r>
              <w:t xml:space="preserve">Warm final accuracy = 93.24%; Fresh final accuracy = 92.89%</w:t>
            </w:r>
          </w:p>
        </w:tc>
      </w:tr>
      <w:tr>
        <w:tc>
          <w:tcPr/>
          <w:p>
            <w:pPr>
              <w:pStyle w:val="Compact"/>
            </w:pPr>
            <w:r>
              <w:t xml:space="preserve">Adaptation rate</w:t>
            </w:r>
          </w:p>
        </w:tc>
        <w:tc>
          <w:tcPr/>
          <w:p>
            <w:pPr>
              <w:pStyle w:val="Compact"/>
            </w:pPr>
            <w:r>
              <w:t xml:space="preserve">Reduced plasticity may appear as less effective subsequent learning</w:t>
            </w:r>
          </w:p>
        </w:tc>
        <w:tc>
          <w:tcPr/>
          <w:p>
            <w:pPr>
              <w:pStyle w:val="Compact"/>
            </w:pPr>
            <w:r>
              <w:t xml:space="preserve">Warm reached 90% in 13.0 epochs; Fresh reached 90% in 11.2 epochs</w:t>
            </w:r>
          </w:p>
        </w:tc>
      </w:tr>
    </w:tbl>
    <w:p>
      <w:pPr>
        <w:pStyle w:val="BodyText"/>
      </w:pPr>
      <w:r>
        <w:t xml:space="preserve">The replication partially aligned with the broader pattern described by Klein et al. The large performance drop immediately after the input shift confirmed that the new condition was substantially different, but the important evidence came from subsequent learning. The fresh model reached 90% Condition B accuracy faster than the warm model, suggesting a small disadvantage in adaptation speed for the previously trained network. However, the warm model had a slightly higher early learning slope and slightly higher final accuracy, so the evidence did not show a clear or sustained loss of learning capacity. At the same time, the warm model’s original-condition accuracy declined from 93.91% to 71.96% while learning Condition B, showing a tradeoff between retaining prior capability and adapting to the changed condition. Therefore, the proxy experiment reproduced part of the broader stability–plasticity pattern, but not strong evidence of substantial plasticity loss.</w:t>
      </w:r>
    </w:p>
    <w:bookmarkEnd w:id="17"/>
    <w:bookmarkEnd w:id="18"/>
    <w:bookmarkStart w:id="19" w:name="reproducibility-check"/>
    <w:p>
      <w:pPr>
        <w:pStyle w:val="Heading1"/>
      </w:pPr>
      <w:r>
        <w:t xml:space="preserve">7. Reproducibility Check</w:t>
      </w:r>
    </w:p>
    <w:p>
      <w:pPr>
        <w:pStyle w:val="FirstParagraph"/>
      </w:pPr>
      <w:r>
        <w:t xml:space="preserve">Evaluate the reproducibility of the original study and your own analysis.</w:t>
      </w:r>
    </w:p>
    <w:p>
      <w:pPr>
        <w:pStyle w:val="Compact"/>
        <w:numPr>
          <w:ilvl w:val="0"/>
          <w:numId w:val="1008"/>
        </w:numPr>
      </w:pPr>
      <w:r>
        <w:t xml:space="preserve">Data source documented</w:t>
      </w:r>
    </w:p>
    <w:p>
      <w:pPr>
        <w:pStyle w:val="Compact"/>
        <w:numPr>
          <w:ilvl w:val="0"/>
          <w:numId w:val="1009"/>
        </w:numPr>
      </w:pPr>
      <w:r>
        <w:t xml:space="preserve">Code runs from beginning to end</w:t>
      </w:r>
    </w:p>
    <w:p>
      <w:pPr>
        <w:pStyle w:val="Compact"/>
        <w:numPr>
          <w:ilvl w:val="0"/>
          <w:numId w:val="1010"/>
        </w:numPr>
      </w:pPr>
      <w:r>
        <w:t xml:space="preserve">Computational environment identified</w:t>
      </w:r>
    </w:p>
    <w:p>
      <w:pPr>
        <w:pStyle w:val="Compact"/>
        <w:numPr>
          <w:ilvl w:val="0"/>
          <w:numId w:val="1011"/>
        </w:numPr>
      </w:pPr>
      <w:r>
        <w:t xml:space="preserve">Software/packages documented</w:t>
      </w:r>
    </w:p>
    <w:p>
      <w:pPr>
        <w:pStyle w:val="Compact"/>
        <w:numPr>
          <w:ilvl w:val="0"/>
          <w:numId w:val="1012"/>
        </w:numPr>
      </w:pPr>
      <w:r>
        <w:t xml:space="preserve">Package versions documented when relevant</w:t>
      </w:r>
    </w:p>
    <w:p>
      <w:pPr>
        <w:pStyle w:val="Compact"/>
        <w:numPr>
          <w:ilvl w:val="0"/>
          <w:numId w:val="1013"/>
        </w:numPr>
      </w:pPr>
      <w:r>
        <w:t xml:space="preserve">Random seed documented when applicable</w:t>
      </w:r>
    </w:p>
    <w:p>
      <w:pPr>
        <w:pStyle w:val="Compact"/>
        <w:numPr>
          <w:ilvl w:val="0"/>
          <w:numId w:val="1014"/>
        </w:numPr>
      </w:pPr>
      <w:r>
        <w:t xml:space="preserve">Key preprocessing steps documented</w:t>
      </w:r>
    </w:p>
    <w:p>
      <w:pPr>
        <w:pStyle w:val="Compact"/>
        <w:numPr>
          <w:ilvl w:val="0"/>
          <w:numId w:val="1015"/>
        </w:numPr>
      </w:pPr>
      <w:r>
        <w:t xml:space="preserve">Evaluation procedure documented</w:t>
      </w:r>
    </w:p>
    <w:p>
      <w:pPr>
        <w:pStyle w:val="Compact"/>
        <w:numPr>
          <w:ilvl w:val="0"/>
          <w:numId w:val="1016"/>
        </w:numPr>
      </w:pPr>
      <w:r>
        <w:t xml:space="preserve">Repository README provides reproduction instructions</w:t>
      </w:r>
    </w:p>
    <w:p>
      <w:pPr>
        <w:pStyle w:val="FirstParagraph"/>
      </w:pPr>
      <w:r>
        <w:rPr>
          <w:b/>
          <w:bCs/>
        </w:rPr>
        <w:t xml:space="preserve">What was the greatest reproducibility challenge you encountered?</w:t>
      </w:r>
    </w:p>
    <w:p>
      <w:pPr>
        <w:pStyle w:val="BodyText"/>
      </w:pPr>
      <w:r>
        <w:t xml:space="preserve">[Write approximately 75–100 words.]</w:t>
      </w:r>
    </w:p>
    <w:p>
      <w:pPr>
        <w:pStyle w:val="Compact"/>
        <w:numPr>
          <w:ilvl w:val="0"/>
          <w:numId w:val="1017"/>
        </w:numPr>
      </w:pPr>
      <w:r>
        <w:t xml:space="preserve">Data source documented</w:t>
      </w:r>
    </w:p>
    <w:p>
      <w:pPr>
        <w:pStyle w:val="Compact"/>
        <w:numPr>
          <w:ilvl w:val="0"/>
          <w:numId w:val="1018"/>
        </w:numPr>
      </w:pPr>
      <w:r>
        <w:t xml:space="preserve">Code runs from beginning to end</w:t>
      </w:r>
    </w:p>
    <w:p>
      <w:pPr>
        <w:pStyle w:val="Compact"/>
        <w:numPr>
          <w:ilvl w:val="0"/>
          <w:numId w:val="1019"/>
        </w:numPr>
      </w:pPr>
      <w:r>
        <w:t xml:space="preserve">Computational environment identified</w:t>
      </w:r>
    </w:p>
    <w:p>
      <w:pPr>
        <w:pStyle w:val="Compact"/>
        <w:numPr>
          <w:ilvl w:val="0"/>
          <w:numId w:val="1020"/>
        </w:numPr>
      </w:pPr>
      <w:r>
        <w:t xml:space="preserve">Software/packages documented</w:t>
      </w:r>
    </w:p>
    <w:p>
      <w:pPr>
        <w:pStyle w:val="Compact"/>
        <w:numPr>
          <w:ilvl w:val="0"/>
          <w:numId w:val="1021"/>
        </w:numPr>
      </w:pPr>
      <w:r>
        <w:t xml:space="preserve">Package versions documented when relevant</w:t>
      </w:r>
    </w:p>
    <w:p>
      <w:pPr>
        <w:pStyle w:val="Compact"/>
        <w:numPr>
          <w:ilvl w:val="0"/>
          <w:numId w:val="1022"/>
        </w:numPr>
      </w:pPr>
      <w:r>
        <w:t xml:space="preserve">Random seed documented when applicable</w:t>
      </w:r>
    </w:p>
    <w:p>
      <w:pPr>
        <w:pStyle w:val="Compact"/>
        <w:numPr>
          <w:ilvl w:val="0"/>
          <w:numId w:val="1023"/>
        </w:numPr>
      </w:pPr>
      <w:r>
        <w:t xml:space="preserve">Key preprocessing steps documented</w:t>
      </w:r>
    </w:p>
    <w:p>
      <w:pPr>
        <w:pStyle w:val="Compact"/>
        <w:numPr>
          <w:ilvl w:val="0"/>
          <w:numId w:val="1024"/>
        </w:numPr>
      </w:pPr>
      <w:r>
        <w:t xml:space="preserve">Evaluation procedure documented</w:t>
      </w:r>
    </w:p>
    <w:p>
      <w:pPr>
        <w:pStyle w:val="Compact"/>
        <w:numPr>
          <w:ilvl w:val="0"/>
          <w:numId w:val="1025"/>
        </w:numPr>
      </w:pPr>
      <w:r>
        <w:t xml:space="preserve">Repository README provides reproduction instructions</w:t>
      </w:r>
    </w:p>
    <w:p>
      <w:pPr>
        <w:pStyle w:val="FirstParagraph"/>
      </w:pPr>
      <w:r>
        <w:rPr>
          <w:b/>
          <w:bCs/>
        </w:rPr>
        <w:t xml:space="preserve">What was the greatest reproducibility challenge you encountered?</w:t>
      </w:r>
    </w:p>
    <w:p>
      <w:pPr>
        <w:pStyle w:val="BodyText"/>
      </w:pPr>
      <w:r>
        <w:t xml:space="preserve">The greatest reproducibility challenge was translating the broad plasticity-loss phenomenon discussed in a survey into a controlled computational experiment. Klein et al. do not provide one original experiment, dataset,</w:t>
      </w:r>
      <w:r>
        <w:t xml:space="preserve">(</w:t>
      </w:r>
      <w:r>
        <w:rPr>
          <w:b/>
          <w:bCs/>
        </w:rPr>
        <w:t xml:space="preserve">klein2026plasticity?</w:t>
      </w:r>
      <w:r>
        <w:t xml:space="preserve">)</w:t>
      </w:r>
      <w:r>
        <w:t xml:space="preserve"> </w:t>
      </w:r>
      <w:r>
        <w:t xml:space="preserve">or codebase to reproduce directly, so several design decisions had to be made transparently. These included choosing a public dataset, defining a nonstationary input shift, creating comparable warm and fresh models, and fixing the data split, pixel permutation, and random seeds. Recording these choices and saving the computational environment was important so that another researcher could reproduce the same experimental conditions.</w:t>
      </w:r>
    </w:p>
    <w:bookmarkEnd w:id="19"/>
    <w:bookmarkStart w:id="21" w:name="extend"/>
    <w:p>
      <w:pPr>
        <w:pStyle w:val="Heading1"/>
      </w:pPr>
      <w:r>
        <w:t xml:space="preserve">8. Extend</w:t>
      </w:r>
    </w:p>
    <w:bookmarkStart w:id="20" w:name="Xb202212df1061c206914f18eb82e1acc935ac90"/>
    <w:p>
      <w:pPr>
        <w:pStyle w:val="Heading2"/>
      </w:pPr>
      <w:r>
        <w:t xml:space="preserve">What did the replication reveal that you would investigate next?</w:t>
      </w:r>
    </w:p>
    <w:p>
      <w:pPr>
        <w:pStyle w:val="FirstParagraph"/>
      </w:pPr>
      <w:r>
        <w:t xml:space="preserve">Propose</w:t>
      </w:r>
      <w:r>
        <w:t xml:space="preserve"> </w:t>
      </w:r>
      <w:r>
        <w:rPr>
          <w:b/>
          <w:bCs/>
        </w:rPr>
        <w:t xml:space="preserve">one</w:t>
      </w:r>
      <w:r>
        <w:t xml:space="preserve"> </w:t>
      </w:r>
      <w:r>
        <w:t xml:space="preserve">meaningful extension.</w:t>
      </w:r>
    </w:p>
    <w:p>
      <w:pPr>
        <w:pStyle w:val="BodyText"/>
      </w:pPr>
      <w:r>
        <w:t xml:space="preserve">Examples might include:</w:t>
      </w:r>
    </w:p>
    <w:p>
      <w:pPr>
        <w:pStyle w:val="Compact"/>
        <w:numPr>
          <w:ilvl w:val="0"/>
          <w:numId w:val="1026"/>
        </w:numPr>
      </w:pPr>
      <w:r>
        <w:t xml:space="preserve">testing another model;</w:t>
      </w:r>
    </w:p>
    <w:p>
      <w:pPr>
        <w:pStyle w:val="Compact"/>
        <w:numPr>
          <w:ilvl w:val="0"/>
          <w:numId w:val="1026"/>
        </w:numPr>
      </w:pPr>
      <w:r>
        <w:t xml:space="preserve">adding a stronger baseline;</w:t>
      </w:r>
    </w:p>
    <w:p>
      <w:pPr>
        <w:pStyle w:val="Compact"/>
        <w:numPr>
          <w:ilvl w:val="0"/>
          <w:numId w:val="1026"/>
        </w:numPr>
      </w:pPr>
      <w:r>
        <w:t xml:space="preserve">evaluating another population or dataset;</w:t>
      </w:r>
    </w:p>
    <w:p>
      <w:pPr>
        <w:pStyle w:val="Compact"/>
        <w:numPr>
          <w:ilvl w:val="0"/>
          <w:numId w:val="1026"/>
        </w:numPr>
      </w:pPr>
      <w:r>
        <w:t xml:space="preserve">examining temporal generalization;</w:t>
      </w:r>
    </w:p>
    <w:p>
      <w:pPr>
        <w:pStyle w:val="Compact"/>
        <w:numPr>
          <w:ilvl w:val="0"/>
          <w:numId w:val="1026"/>
        </w:numPr>
      </w:pPr>
      <w:r>
        <w:t xml:space="preserve">testing fairness across groups;</w:t>
      </w:r>
    </w:p>
    <w:p>
      <w:pPr>
        <w:pStyle w:val="Compact"/>
        <w:numPr>
          <w:ilvl w:val="0"/>
          <w:numId w:val="1026"/>
        </w:numPr>
      </w:pPr>
      <w:r>
        <w:t xml:space="preserve">evaluating model calibration;</w:t>
      </w:r>
    </w:p>
    <w:p>
      <w:pPr>
        <w:pStyle w:val="Compact"/>
        <w:numPr>
          <w:ilvl w:val="0"/>
          <w:numId w:val="1026"/>
        </w:numPr>
      </w:pPr>
      <w:r>
        <w:t xml:space="preserve">examining interpretability; or</w:t>
      </w:r>
    </w:p>
    <w:p>
      <w:pPr>
        <w:pStyle w:val="Compact"/>
        <w:numPr>
          <w:ilvl w:val="0"/>
          <w:numId w:val="1026"/>
        </w:numPr>
      </w:pPr>
      <w:r>
        <w:t xml:space="preserve">testing robustness under changing conditions.</w:t>
      </w:r>
    </w:p>
    <w:p>
      <w:pPr>
        <w:pStyle w:val="FirstParagraph"/>
      </w:pPr>
      <w:r>
        <w:t xml:space="preserve">Explain why the extension would add knowledge rather than merely add complexity.</w:t>
      </w:r>
    </w:p>
    <w:p>
      <w:pPr>
        <w:pStyle w:val="BodyText"/>
      </w:pPr>
      <w:r>
        <w:t xml:space="preserve">[Write approximately 100–150 words.]</w:t>
      </w:r>
    </w:p>
    <w:p>
      <w:pPr>
        <w:pStyle w:val="BodyText"/>
      </w:pPr>
      <w:r>
        <w:t xml:space="preserve">A useful extension would be to expose the warm model to several sequential input-distribution changes instead of only one fixed pixel permutation. After learning each new condition, the model could be compared with a freshly initialized model trained on the same condition. This would show whether the ability to adapt stays stable across repeated changes or gradually declines with continued training. The extension would add knowledge because our current experiment showed that the warm model could successfully learn one new condition, so a single shift may not be strong enough to reveal cumulative plasticity loss. Klein et al. note that longer training and repeated nonstationary learning can reduce later adaptability, making repeated changes a meaningful test of whether learning capacity deteriorates over time.</w:t>
      </w:r>
    </w:p>
    <w:bookmarkEnd w:id="20"/>
    <w:bookmarkEnd w:id="21"/>
    <w:bookmarkStart w:id="22" w:name="replication-verdict"/>
    <w:p>
      <w:pPr>
        <w:pStyle w:val="Heading1"/>
      </w:pPr>
      <w:r>
        <w:t xml:space="preserve">Replication Verdict</w:t>
      </w:r>
    </w:p>
    <w:p>
      <w:pPr>
        <w:pStyle w:val="FirstParagraph"/>
      </w:pPr>
      <w:r>
        <w:t xml:space="preserve">Select the statement that best represents your findings:</w:t>
      </w:r>
    </w:p>
    <w:p>
      <w:pPr>
        <w:pStyle w:val="Compact"/>
        <w:numPr>
          <w:ilvl w:val="0"/>
          <w:numId w:val="1027"/>
        </w:numPr>
      </w:pPr>
      <w:r>
        <w:rPr>
          <w:b/>
          <w:bCs/>
        </w:rPr>
        <w:t xml:space="preserve">Reproduced</w:t>
      </w:r>
      <w:r>
        <w:t xml:space="preserve"> </w:t>
      </w:r>
      <w:r>
        <w:t xml:space="preserve">— The central result was substantially reproduced.</w:t>
      </w:r>
    </w:p>
    <w:p>
      <w:pPr>
        <w:pStyle w:val="Compact"/>
        <w:numPr>
          <w:ilvl w:val="0"/>
          <w:numId w:val="1028"/>
        </w:numPr>
      </w:pPr>
      <w:r>
        <w:rPr>
          <w:b/>
          <w:bCs/>
        </w:rPr>
        <w:t xml:space="preserve">Partially Reproduced</w:t>
      </w:r>
      <w:r>
        <w:t xml:space="preserve"> </w:t>
      </w:r>
      <w:r>
        <w:t xml:space="preserve">— Some findings were reproduced, but meaningful differences remain.</w:t>
      </w:r>
    </w:p>
    <w:p>
      <w:pPr>
        <w:pStyle w:val="Compact"/>
        <w:numPr>
          <w:ilvl w:val="0"/>
          <w:numId w:val="1029"/>
        </w:numPr>
      </w:pPr>
      <w:r>
        <w:rPr>
          <w:b/>
          <w:bCs/>
        </w:rPr>
        <w:t xml:space="preserve">Not Reproduced</w:t>
      </w:r>
      <w:r>
        <w:t xml:space="preserve"> </w:t>
      </w:r>
      <w:r>
        <w:t xml:space="preserve">— The central result was not reproduced.</w:t>
      </w:r>
    </w:p>
    <w:p>
      <w:pPr>
        <w:pStyle w:val="Compact"/>
        <w:numPr>
          <w:ilvl w:val="0"/>
          <w:numId w:val="1030"/>
        </w:numPr>
      </w:pPr>
      <w:r>
        <w:rPr>
          <w:b/>
          <w:bCs/>
        </w:rPr>
        <w:t xml:space="preserve">Not Directly Comparable</w:t>
      </w:r>
      <w:r>
        <w:t xml:space="preserve"> </w:t>
      </w:r>
      <w:r>
        <w:t xml:space="preserve">— A proxy replication produced useful methodological insight, but numerical comparison is not appropriate.</w:t>
      </w:r>
    </w:p>
    <w:p>
      <w:pPr>
        <w:pStyle w:val="FirstParagraph"/>
      </w:pPr>
      <w:r>
        <w:t xml:space="preserve">In</w:t>
      </w:r>
      <w:r>
        <w:t xml:space="preserve"> </w:t>
      </w:r>
      <w:r>
        <w:rPr>
          <w:b/>
          <w:bCs/>
        </w:rPr>
        <w:t xml:space="preserve">2–3 sentences</w:t>
      </w:r>
      <w:r>
        <w:t xml:space="preserve">, defend your verdict.</w:t>
      </w:r>
    </w:p>
    <w:p>
      <w:pPr>
        <w:pStyle w:val="BodyText"/>
      </w:pPr>
      <w:r>
        <w:t xml:space="preserve">The proxy experiment partially reproduced the broader stability–plasticity pattern described by Klein et al. The warm model experienced a large disruption and some loss of its original-condition performance, but its post-change learning was broadly similar to the fresh model, so the experiment did not show clear evidence of substantial plasticity loss.</w:t>
      </w:r>
    </w:p>
    <w:bookmarkEnd w:id="22"/>
    <w:bookmarkStart w:id="24" w:name="references"/>
    <w:p>
      <w:pPr>
        <w:pStyle w:val="Heading1"/>
      </w:pPr>
      <w:r>
        <w:t xml:space="preserve">References</w:t>
      </w:r>
    </w:p>
    <w:bookmarkStart w:id="23" w:name="refs"/>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3"/>
  </w:num>
  <w:num w:numId="1018">
    <w:abstractNumId w:val="993"/>
  </w:num>
  <w:num w:numId="1019">
    <w:abstractNumId w:val="993"/>
  </w:num>
  <w:num w:numId="1020">
    <w:abstractNumId w:val="993"/>
  </w:num>
  <w:num w:numId="1021">
    <w:abstractNumId w:val="993"/>
  </w:num>
  <w:num w:numId="1022">
    <w:abstractNumId w:val="993"/>
  </w:num>
  <w:num w:numId="1023">
    <w:abstractNumId w:val="993"/>
  </w:num>
  <w:num w:numId="1024">
    <w:abstractNumId w:val="993"/>
  </w:num>
  <w:num w:numId="1025">
    <w:abstractNumId w:val="993"/>
  </w:num>
  <w:num w:numId="1026">
    <w:abstractNumId w:val="991"/>
  </w:num>
  <w:num w:numId="1027">
    <w:abstractNumId w:val="992"/>
  </w:num>
  <w:num w:numId="1028">
    <w:abstractNumId w:val="993"/>
  </w:num>
  <w:num w:numId="1029">
    <w:abstractNumId w:val="992"/>
  </w:num>
  <w:num w:numId="103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AI Replication Laboratory</dc:title>
  <dc:creator>Student Name</dc:creator>
  <cp:keywords/>
  <dcterms:created xsi:type="dcterms:W3CDTF">2026-09-28T00:15:03Z</dcterms:created>
  <dcterms:modified xsi:type="dcterms:W3CDTF">2026-09-28T00:15:03Z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2026-09-27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ANLY 735 – Research Seminar in Predictive AI</vt:lpwstr>
  </property>
  <property fmtid="{D5CDD505-2E9C-101B-9397-08002B2CF9AE}" pid="12" name="toc-title">
    <vt:lpwstr>Table of contents</vt:lpwstr>
  </property>
</Properties>
</file>