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ĐỀ XUẤT GIẢI PHÁP TIẾP NHẬN YÊU CẦU</w:t>
      </w:r>
    </w:p>
    <w:p>
      <w:r>
        <w:rPr>
          <w:b/>
        </w:rPr>
        <w:t>Phần 1 – Đề xuất 2 giải pháp</w:t>
      </w:r>
    </w:p>
    <w:p>
      <w:r>
        <w:t>Giải pháp 1 – Tiếp nhận yêu cầu theo vòng lặp (Agile): Chia yêu cầu thành các phần nhỏ, ưu tiên theo mức độ quan trọng và lấy phản hồi thường xuyên sau mỗi vòng phát triển để điều chỉnh kịp thời.</w:t>
      </w:r>
    </w:p>
    <w:p>
      <w:r>
        <w:t>Giải pháp 2 – Chốt yêu cầu ngay từ đầu (Waterfall): Thu thập, phân tích và thống nhất đầy đủ yêu cầu trước khi phát triển, sau đó triển khai theo kế hoạch đã chốt.</w:t>
      </w:r>
    </w:p>
    <w:p>
      <w:r>
        <w:rPr>
          <w:b/>
        </w:rPr>
        <w:t>Phần 2 – So sánh</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rFonts w:ascii="Times New Roman" w:hAnsi="Times New Roman"/>
                <w:sz w:val="22"/>
              </w:rPr>
              <w:t>Tiêu chí</w:t>
            </w:r>
          </w:p>
        </w:tc>
        <w:tc>
          <w:tcPr>
            <w:tcW w:type="dxa" w:w="3312"/>
          </w:tcPr>
          <w:p>
            <w:pPr>
              <w:spacing w:after="40"/>
            </w:pPr>
            <w:r>
              <w:rPr>
                <w:rFonts w:ascii="Times New Roman" w:hAnsi="Times New Roman"/>
                <w:sz w:val="22"/>
              </w:rPr>
              <w:t>Giải pháp 1 – Agile</w:t>
            </w:r>
          </w:p>
        </w:tc>
        <w:tc>
          <w:tcPr>
            <w:tcW w:type="dxa" w:w="3312"/>
          </w:tcPr>
          <w:p>
            <w:pPr>
              <w:spacing w:after="40"/>
            </w:pPr>
            <w:r>
              <w:rPr>
                <w:rFonts w:ascii="Times New Roman" w:hAnsi="Times New Roman"/>
                <w:sz w:val="22"/>
              </w:rPr>
              <w:t>Giải pháp 2 – Waterfall</w:t>
            </w:r>
          </w:p>
        </w:tc>
      </w:tr>
      <w:tr>
        <w:tc>
          <w:tcPr>
            <w:tcW w:type="dxa" w:w="3312"/>
            <w:vAlign w:val="center"/>
          </w:tcPr>
          <w:p>
            <w:pPr>
              <w:spacing w:after="40"/>
            </w:pPr>
            <w:r>
              <w:rPr>
                <w:rFonts w:ascii="Times New Roman" w:hAnsi="Times New Roman"/>
                <w:sz w:val="22"/>
              </w:rPr>
              <w:t>Khả năng thích nghi khi yêu cầu thay đổi</w:t>
            </w:r>
          </w:p>
        </w:tc>
        <w:tc>
          <w:tcPr>
            <w:tcW w:type="dxa" w:w="3312"/>
            <w:vAlign w:val="center"/>
          </w:tcPr>
          <w:p>
            <w:pPr>
              <w:spacing w:after="40"/>
            </w:pPr>
            <w:r>
              <w:rPr>
                <w:rFonts w:ascii="Times New Roman" w:hAnsi="Times New Roman"/>
                <w:sz w:val="22"/>
              </w:rPr>
              <w:t>(+) Dễ điều chỉnh vì yêu cầu được xem xét và cập nhật qua từng vòng.</w:t>
            </w:r>
          </w:p>
        </w:tc>
        <w:tc>
          <w:tcPr>
            <w:tcW w:type="dxa" w:w="3312"/>
            <w:vAlign w:val="center"/>
          </w:tcPr>
          <w:p>
            <w:pPr>
              <w:spacing w:after="40"/>
            </w:pPr>
            <w:r>
              <w:rPr>
                <w:rFonts w:ascii="Times New Roman" w:hAnsi="Times New Roman"/>
                <w:sz w:val="22"/>
              </w:rPr>
              <w:t>(–) Khó thay đổi sau khi đã chốt vì có thể ảnh hưởng kế hoạch, chi phí và phần đã làm.</w:t>
            </w:r>
          </w:p>
        </w:tc>
      </w:tr>
      <w:tr>
        <w:tc>
          <w:tcPr>
            <w:tcW w:type="dxa" w:w="3312"/>
            <w:vAlign w:val="center"/>
          </w:tcPr>
          <w:p>
            <w:pPr>
              <w:spacing w:after="40"/>
            </w:pPr>
            <w:r>
              <w:rPr>
                <w:rFonts w:ascii="Times New Roman" w:hAnsi="Times New Roman"/>
                <w:sz w:val="22"/>
              </w:rPr>
              <w:t>Thời điểm khách thấy sản phẩm / phát hiện sai lệch</w:t>
            </w:r>
          </w:p>
        </w:tc>
        <w:tc>
          <w:tcPr>
            <w:tcW w:type="dxa" w:w="3312"/>
            <w:vAlign w:val="center"/>
          </w:tcPr>
          <w:p>
            <w:pPr>
              <w:spacing w:after="40"/>
            </w:pPr>
            <w:r>
              <w:rPr>
                <w:rFonts w:ascii="Times New Roman" w:hAnsi="Times New Roman"/>
                <w:sz w:val="22"/>
              </w:rPr>
              <w:t>(+) Khách được xem sản phẩm sớm qua từng vòng nên sai lệch được phát hiện sớm.</w:t>
            </w:r>
          </w:p>
        </w:tc>
        <w:tc>
          <w:tcPr>
            <w:tcW w:type="dxa" w:w="3312"/>
            <w:vAlign w:val="center"/>
          </w:tcPr>
          <w:p>
            <w:pPr>
              <w:spacing w:after="40"/>
            </w:pPr>
            <w:r>
              <w:rPr>
                <w:rFonts w:ascii="Times New Roman" w:hAnsi="Times New Roman"/>
                <w:sz w:val="22"/>
              </w:rPr>
              <w:t>(–) Thường phải chờ đến giai đoạn hoàn thành mới thấy đầy đủ sản phẩm nên sai lệch có thể phát hiện muộn.</w:t>
            </w:r>
          </w:p>
        </w:tc>
      </w:tr>
      <w:tr>
        <w:tc>
          <w:tcPr>
            <w:tcW w:type="dxa" w:w="3312"/>
            <w:vAlign w:val="center"/>
          </w:tcPr>
          <w:p>
            <w:pPr>
              <w:spacing w:after="40"/>
            </w:pPr>
            <w:r>
              <w:rPr>
                <w:rFonts w:ascii="Times New Roman" w:hAnsi="Times New Roman"/>
                <w:sz w:val="22"/>
              </w:rPr>
              <w:t>Mức phù hợp khi yêu cầu rõ ràng, ổn định</w:t>
            </w:r>
          </w:p>
        </w:tc>
        <w:tc>
          <w:tcPr>
            <w:tcW w:type="dxa" w:w="3312"/>
            <w:vAlign w:val="center"/>
          </w:tcPr>
          <w:p>
            <w:pPr>
              <w:spacing w:after="40"/>
            </w:pPr>
            <w:r>
              <w:rPr>
                <w:rFonts w:ascii="Times New Roman" w:hAnsi="Times New Roman"/>
                <w:sz w:val="22"/>
              </w:rPr>
              <w:t>(–) Có thể tốn thêm thời gian cho việc phản hồi và điều chỉnh dù yêu cầu ít thay đổi.</w:t>
            </w:r>
          </w:p>
        </w:tc>
        <w:tc>
          <w:tcPr>
            <w:tcW w:type="dxa" w:w="3312"/>
            <w:vAlign w:val="center"/>
          </w:tcPr>
          <w:p>
            <w:pPr>
              <w:spacing w:after="40"/>
            </w:pPr>
            <w:r>
              <w:rPr>
                <w:rFonts w:ascii="Times New Roman" w:hAnsi="Times New Roman"/>
                <w:sz w:val="22"/>
              </w:rPr>
              <w:t>(+) Phù hợp vì có thể chốt phạm vi, lập kế hoạch và triển khai ổn định ngay từ đầu.</w:t>
            </w:r>
          </w:p>
        </w:tc>
      </w:tr>
    </w:tbl>
    <w:p/>
    <w:p>
      <w:r>
        <w:rPr>
          <w:b/>
        </w:rPr>
        <w:t>Phần 3 – Lựa chọn &amp; phản biện</w:t>
      </w:r>
    </w:p>
    <w:p>
      <w:r>
        <w:t>Đội Phát triển chọn Giải pháp 1 (Agile) vì yêu cầu có khả năng thay đổi và cần nhận phản hồi sớm để giảm sai lệch.</w:t>
      </w:r>
    </w:p>
    <w:p>
      <w:r>
        <w:t>Đội Đối soát chọn Giải pháp 1 (Agile) vì nghiệp vụ đối soát có thể phát sinh thay đổi, đặc biệt khi quy định thuế được cập nhật.</w:t>
      </w:r>
    </w:p>
    <w:p>
      <w:r>
        <w:t>Khi luật thuế đổi gấp, đội sẽ đưa thay đổi vào backlog, ưu tiên xử lý trong vòng tiếp theo và kiểm thử lại các quy tắc đối soát trước khi phát hành.</w:t>
      </w:r>
    </w:p>
    <w:p>
      <w:r>
        <w:t>Rủi ro là thay đổi đột xuất có thể làm tăng phạm vi, gây áp lực tiến độ và phát sinh lỗi nếu cập nhật hoặc kiểm thử không đủ kỹ.</w:t>
      </w:r>
    </w:p>
    <w:p>
      <w:r>
        <w:t>Đề xuất của trưởng phòng chỉ phù hợp nếu yêu cầu thực sự rõ ràng và ổn định; áp dụng cứng một cách tiếp cận có thể khiến đội khó phản ứng khi yêu cầu thay đổi.</w:t>
      </w:r>
    </w:p>
    <w:p>
      <w:r>
        <w:t>Vì vậy, nên cho phép đội lựa chọn cách tiếp nhận phù hợp với đặc thù thay vì áp dụng một quy trình duy nhất cho tất cả.</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