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XÂY DỰNG VÀ RÀ SOÁT TỔNG HỢP KHUNG SRS RIKKEIFOOD</w:t>
      </w:r>
    </w:p>
    <w:p>
      <w:pPr>
        <w:jc w:val="center"/>
      </w:pPr>
      <w:r>
        <w:rPr>
          <w:i/>
        </w:rPr>
        <w:t>Bài thực hành – IEEE 830</w:t>
      </w:r>
    </w:p>
    <w:p>
      <w:r>
        <w:rPr>
          <w:rFonts w:ascii="Times New Roman" w:hAnsi="Times New Roman"/>
          <w:b/>
          <w:sz w:val="28"/>
        </w:rPr>
        <w:t>Bước 1 — Phân loại 5 ghi chú và xác định vị trí IEEE 830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b/>
                <w:sz w:val="22"/>
              </w:rPr>
              <w:t>Ghi chú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b/>
                <w:sz w:val="22"/>
              </w:rPr>
              <w:t>Loại yêu cầu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b/>
                <w:sz w:val="22"/>
              </w:rPr>
              <w:t>Vị trí IEEE 830 đề xuất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Ghi chú 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Chức năng (Functional)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3.2 Functional Requirements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Ghi chú 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Phi chức năng – Hiệu năng (Performance)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3.3 Performance Requirements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Ghi chú 3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Chức năng (Functional)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3.2 Functional Requirements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Ghi chú 4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Phi chức năng – Tương thích / Ràng buộc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3.4 Design Constraints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Ghi chú 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Phi chức năng – Bảo mật (Security)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3.5 Software System Attributes – Security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Bước 2 — Xác định vị trí cho 2 sơ đồ đã có sẵn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b/>
                <w:sz w:val="22"/>
              </w:rPr>
              <w:t>Sơ đồ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b/>
                <w:sz w:val="22"/>
              </w:rPr>
              <w:t>Vị trí IEEE 830 đề xuất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b/>
                <w:sz w:val="22"/>
              </w:rPr>
              <w:t>Lý do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Use Case Diagram tổng thể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3.2 Functional Requirements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Mô tả các Actor và các chức năng hệ thống cung cấp, hỗ trợ minh họa cho các yêu cầu chức năng.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ERD Đơn hàng – Món ăn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Phần 3 – Specific Requirements, mục Data/Database Requirements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Mô tả cấu trúc và mối quan hệ dữ liệu giữa Đơn hàng và Món ăn, hỗ trợ đặc tả yêu cầu dữ liệu.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Bước 3 — Viết lại các ghi chú vi phạm đặc tính vàng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b/>
                <w:sz w:val="22"/>
              </w:rPr>
              <w:t>Ghi chú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b/>
                <w:sz w:val="22"/>
              </w:rPr>
              <w:t>Đặc tính vàng bị vi phạm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b/>
                <w:sz w:val="22"/>
              </w:rPr>
              <w:t>Viết lại đạt chuẩn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Ghi chú 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Mơ hồ (Unambiguous) và không đo lường/kiểm chứng được (Verifiable). Cụm “nhanh chóng” không có ngưỡng cụ thể.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Sau khi khách hàng quét mã QR hợp lệ, hệ thống phải hiển thị đầy đủ thực đơn trong thời gian không quá 2 giây trong ít nhất 95% số lần truy cập, với điều kiện kết nối mạng ổn định.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Ghi chú 4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Mơ hồ (Unambiguous) và khó kiểm chứng (Verifiable). “Trình duyệt di động phổ biến” và “quá cũ” không xác định cụ thể.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2"/>
              </w:rPr>
              <w:t>Hệ thống phải hỗ trợ Chrome và Safari trên thiết bị di động với phiên bản trong vòng 2 phiên bản chính gần nhất; các phiên bản cũ hơn không thuộc phạm vi hỗ trợ.</w:t>
            </w:r>
          </w:p>
        </w:tc>
      </w:tr>
    </w:tbl>
    <w:p/>
    <w:p>
      <w:r>
        <w:rPr>
          <w:b/>
        </w:rPr>
        <w:t xml:space="preserve">Lưu ý: </w:t>
      </w:r>
      <w:r>
        <w:t>Các vị trí mục 3.x có thể được điều chỉnh theo template SRS cụ thể của giảng viên, nhưng nội dung phân loại Functional/Non-functional và cách viết yêu cầu phải giữ nguyên nguyên tắc IEEE 830.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