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PHẢN BIỆN TOÀN DIỆN BẢN THẢO SRS RIKKEITRAVEL</w:t>
      </w:r>
    </w:p>
    <w:p>
      <w:pPr>
        <w:jc w:val="center"/>
      </w:pPr>
      <w:r>
        <w:rPr>
          <w:rFonts w:ascii="Times New Roman" w:hAnsi="Times New Roman"/>
          <w:i/>
        </w:rPr>
        <w:t>Peer Review – IEEE 830 và 8 đặc tính vàng của yêu cầu</w:t>
      </w:r>
    </w:p>
    <w:p>
      <w:r>
        <w:rPr>
          <w:rFonts w:ascii="Times New Roman" w:hAnsi="Times New Roman"/>
          <w:b/>
          <w:sz w:val="28"/>
        </w:rPr>
        <w:t>BƯỚC 1 — BẢNG LỖI PHÁT HIỆN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Times New Roman" w:hAnsi="Times New Roman"/>
                <w:b/>
                <w:sz w:val="18"/>
              </w:rPr>
              <w:t>STT</w:t>
            </w:r>
          </w:p>
        </w:tc>
        <w:tc>
          <w:tcPr>
            <w:tcW w:type="dxa" w:w="2556"/>
            <w:vAlign w:val="center"/>
          </w:tcPr>
          <w:p>
            <w:r>
              <w:rPr>
                <w:rFonts w:ascii="Times New Roman" w:hAnsi="Times New Roman"/>
                <w:b/>
                <w:sz w:val="18"/>
              </w:rPr>
              <w:t>Nội dung lỗi</w:t>
            </w:r>
          </w:p>
        </w:tc>
        <w:tc>
          <w:tcPr>
            <w:tcW w:type="dxa" w:w="2556"/>
            <w:vAlign w:val="center"/>
          </w:tcPr>
          <w:p>
            <w:r>
              <w:rPr>
                <w:rFonts w:ascii="Times New Roman" w:hAnsi="Times New Roman"/>
                <w:b/>
                <w:sz w:val="18"/>
              </w:rPr>
              <w:t>Phân loại lỗi</w:t>
            </w:r>
          </w:p>
        </w:tc>
        <w:tc>
          <w:tcPr>
            <w:tcW w:type="dxa" w:w="2556"/>
            <w:vAlign w:val="center"/>
          </w:tcPr>
          <w:p>
            <w:r>
              <w:rPr>
                <w:rFonts w:ascii="Times New Roman" w:hAnsi="Times New Roman"/>
                <w:b/>
                <w:sz w:val="18"/>
              </w:rPr>
              <w:t>Vị trí đúng / Cách khắc phục</w:t>
            </w:r>
          </w:p>
        </w:tc>
      </w:tr>
      <w:tr>
        <w:tc>
          <w:tcPr>
            <w:tcW w:type="dxa" w:w="2556"/>
            <w:vAlign w:val="center"/>
          </w:tcPr>
          <w:p>
            <w:r>
              <w:rPr>
                <w:rFonts w:ascii="Times New Roman" w:hAnsi="Times New Roman"/>
                <w:sz w:val="18"/>
              </w:rPr>
              <w:t>1</w:t>
            </w:r>
          </w:p>
        </w:tc>
        <w:tc>
          <w:tcPr>
            <w:tcW w:type="dxa" w:w="2556"/>
            <w:vAlign w:val="center"/>
          </w:tcPr>
          <w:p>
            <w:r>
              <w:rPr>
                <w:rFonts w:ascii="Times New Roman" w:hAnsi="Times New Roman"/>
                <w:sz w:val="18"/>
              </w:rPr>
              <w:t>Actor và Use Case đang được đặt trong 2.4 Constraints, trong khi đây không phải ràng buộc thiết kế.</w:t>
            </w:r>
          </w:p>
        </w:tc>
        <w:tc>
          <w:tcPr>
            <w:tcW w:type="dxa" w:w="2556"/>
            <w:vAlign w:val="center"/>
          </w:tcPr>
          <w:p>
            <w:r>
              <w:rPr>
                <w:rFonts w:ascii="Times New Roman" w:hAnsi="Times New Roman"/>
                <w:sz w:val="18"/>
              </w:rPr>
              <w:t>Sai vị trí IEEE 830</w:t>
            </w:r>
          </w:p>
        </w:tc>
        <w:tc>
          <w:tcPr>
            <w:tcW w:type="dxa" w:w="2556"/>
            <w:vAlign w:val="center"/>
          </w:tcPr>
          <w:p>
            <w:r>
              <w:rPr>
                <w:rFonts w:ascii="Times New Roman" w:hAnsi="Times New Roman"/>
                <w:sz w:val="18"/>
              </w:rPr>
              <w:t>Chuyển sang 3.2 Functional Requirements.</w:t>
            </w:r>
          </w:p>
        </w:tc>
      </w:tr>
      <w:tr>
        <w:tc>
          <w:tcPr>
            <w:tcW w:type="dxa" w:w="2556"/>
            <w:vAlign w:val="center"/>
          </w:tcPr>
          <w:p>
            <w:r>
              <w:rPr>
                <w:rFonts w:ascii="Times New Roman" w:hAnsi="Times New Roman"/>
                <w:sz w:val="18"/>
              </w:rPr>
              <w:t>2</w:t>
            </w:r>
          </w:p>
        </w:tc>
        <w:tc>
          <w:tcPr>
            <w:tcW w:type="dxa" w:w="2556"/>
            <w:vAlign w:val="center"/>
          </w:tcPr>
          <w:p>
            <w:r>
              <w:rPr>
                <w:rFonts w:ascii="Times New Roman" w:hAnsi="Times New Roman"/>
                <w:sz w:val="18"/>
              </w:rPr>
              <w:t>Sơ đồ ERD đang đặt trong 1.3 Definitions, nhưng ERD không phải phần định nghĩa thuật ngữ.</w:t>
            </w:r>
          </w:p>
        </w:tc>
        <w:tc>
          <w:tcPr>
            <w:tcW w:type="dxa" w:w="2556"/>
            <w:vAlign w:val="center"/>
          </w:tcPr>
          <w:p>
            <w:r>
              <w:rPr>
                <w:rFonts w:ascii="Times New Roman" w:hAnsi="Times New Roman"/>
                <w:sz w:val="18"/>
              </w:rPr>
              <w:t>Sai vị trí IEEE 830</w:t>
            </w:r>
          </w:p>
        </w:tc>
        <w:tc>
          <w:tcPr>
            <w:tcW w:type="dxa" w:w="2556"/>
            <w:vAlign w:val="center"/>
          </w:tcPr>
          <w:p>
            <w:r>
              <w:rPr>
                <w:rFonts w:ascii="Times New Roman" w:hAnsi="Times New Roman"/>
                <w:sz w:val="18"/>
              </w:rPr>
              <w:t>Chuyển sang 3.4 Logical Database Requirements.</w:t>
            </w:r>
          </w:p>
        </w:tc>
      </w:tr>
      <w:tr>
        <w:tc>
          <w:tcPr>
            <w:tcW w:type="dxa" w:w="2556"/>
            <w:vAlign w:val="center"/>
          </w:tcPr>
          <w:p>
            <w:r>
              <w:rPr>
                <w:rFonts w:ascii="Times New Roman" w:hAnsi="Times New Roman"/>
                <w:sz w:val="18"/>
              </w:rPr>
              <w:t>3</w:t>
            </w:r>
          </w:p>
        </w:tc>
        <w:tc>
          <w:tcPr>
            <w:tcW w:type="dxa" w:w="2556"/>
            <w:vAlign w:val="center"/>
          </w:tcPr>
          <w:p>
            <w:r>
              <w:rPr>
                <w:rFonts w:ascii="Times New Roman" w:hAnsi="Times New Roman"/>
                <w:sz w:val="18"/>
              </w:rPr>
              <w:t>REQ-21 dùng cụm “một cách nhanh chóng”, không có thời gian phản hồi cụ thể.</w:t>
            </w:r>
          </w:p>
        </w:tc>
        <w:tc>
          <w:tcPr>
            <w:tcW w:type="dxa" w:w="2556"/>
            <w:vAlign w:val="center"/>
          </w:tcPr>
          <w:p>
            <w:r>
              <w:rPr>
                <w:rFonts w:ascii="Times New Roman" w:hAnsi="Times New Roman"/>
                <w:sz w:val="18"/>
              </w:rPr>
              <w:t>Vi phạm Unambiguous + Verifiable</w:t>
            </w:r>
          </w:p>
        </w:tc>
        <w:tc>
          <w:tcPr>
            <w:tcW w:type="dxa" w:w="2556"/>
            <w:vAlign w:val="center"/>
          </w:tcPr>
          <w:p>
            <w:r>
              <w:rPr>
                <w:rFonts w:ascii="Times New Roman" w:hAnsi="Times New Roman"/>
                <w:sz w:val="18"/>
              </w:rPr>
              <w:t>Quy định thời gian cụ thể, ví dụ phản hồi trong ≤ 3 giây trong điều kiện xác định.</w:t>
            </w:r>
          </w:p>
        </w:tc>
      </w:tr>
      <w:tr>
        <w:tc>
          <w:tcPr>
            <w:tcW w:type="dxa" w:w="2556"/>
            <w:vAlign w:val="center"/>
          </w:tcPr>
          <w:p>
            <w:r>
              <w:rPr>
                <w:rFonts w:ascii="Times New Roman" w:hAnsi="Times New Roman"/>
                <w:sz w:val="18"/>
              </w:rPr>
              <w:t>4</w:t>
            </w:r>
          </w:p>
        </w:tc>
        <w:tc>
          <w:tcPr>
            <w:tcW w:type="dxa" w:w="2556"/>
            <w:vAlign w:val="center"/>
          </w:tcPr>
          <w:p>
            <w:r>
              <w:rPr>
                <w:rFonts w:ascii="Times New Roman" w:hAnsi="Times New Roman"/>
                <w:sz w:val="18"/>
              </w:rPr>
              <w:t>REQ-22 chưa quy định xử lý thanh toán thiếu, thất bại hoặc không hợp lệ.</w:t>
            </w:r>
          </w:p>
        </w:tc>
        <w:tc>
          <w:tcPr>
            <w:tcW w:type="dxa" w:w="2556"/>
            <w:vAlign w:val="center"/>
          </w:tcPr>
          <w:p>
            <w:r>
              <w:rPr>
                <w:rFonts w:ascii="Times New Roman" w:hAnsi="Times New Roman"/>
                <w:sz w:val="18"/>
              </w:rPr>
              <w:t>Vi phạm Completeness + Verifiable</w:t>
            </w:r>
          </w:p>
        </w:tc>
        <w:tc>
          <w:tcPr>
            <w:tcW w:type="dxa" w:w="2556"/>
            <w:vAlign w:val="center"/>
          </w:tcPr>
          <w:p>
            <w:r>
              <w:rPr>
                <w:rFonts w:ascii="Times New Roman" w:hAnsi="Times New Roman"/>
                <w:sz w:val="18"/>
              </w:rPr>
              <w:t>Bổ sung điều kiện và kết quả cho thanh toán đủ, thiếu hoặc thất bại.</w:t>
            </w:r>
          </w:p>
        </w:tc>
      </w:tr>
      <w:tr>
        <w:tc>
          <w:tcPr>
            <w:tcW w:type="dxa" w:w="2556"/>
            <w:vAlign w:val="center"/>
          </w:tcPr>
          <w:p>
            <w:r>
              <w:rPr>
                <w:rFonts w:ascii="Times New Roman" w:hAnsi="Times New Roman"/>
                <w:sz w:val="18"/>
              </w:rPr>
              <w:t>5</w:t>
            </w:r>
          </w:p>
        </w:tc>
        <w:tc>
          <w:tcPr>
            <w:tcW w:type="dxa" w:w="2556"/>
            <w:vAlign w:val="center"/>
          </w:tcPr>
          <w:p>
            <w:r>
              <w:rPr>
                <w:rFonts w:ascii="Times New Roman" w:hAnsi="Times New Roman"/>
                <w:sz w:val="18"/>
              </w:rPr>
              <w:t>REQ-23 cho phép sửa báo giá bất kỳ lúc nào, kể cả sau thanh toán.</w:t>
            </w:r>
          </w:p>
        </w:tc>
        <w:tc>
          <w:tcPr>
            <w:tcW w:type="dxa" w:w="2556"/>
            <w:vAlign w:val="center"/>
          </w:tcPr>
          <w:p>
            <w:r>
              <w:rPr>
                <w:rFonts w:ascii="Times New Roman" w:hAnsi="Times New Roman"/>
                <w:sz w:val="18"/>
              </w:rPr>
              <w:t>Vi phạm Consistent</w:t>
            </w:r>
          </w:p>
        </w:tc>
        <w:tc>
          <w:tcPr>
            <w:tcW w:type="dxa" w:w="2556"/>
            <w:vAlign w:val="center"/>
          </w:tcPr>
          <w:p>
            <w:r>
              <w:rPr>
                <w:rFonts w:ascii="Times New Roman" w:hAnsi="Times New Roman"/>
                <w:sz w:val="18"/>
              </w:rPr>
              <w:t>Thống nhất với REQ-24 bằng một quy tắc nghiệp vụ duy nhất.</w:t>
            </w:r>
          </w:p>
        </w:tc>
      </w:tr>
      <w:tr>
        <w:tc>
          <w:tcPr>
            <w:tcW w:type="dxa" w:w="2556"/>
            <w:vAlign w:val="center"/>
          </w:tcPr>
          <w:p>
            <w:r>
              <w:rPr>
                <w:rFonts w:ascii="Times New Roman" w:hAnsi="Times New Roman"/>
                <w:sz w:val="18"/>
              </w:rPr>
              <w:t>6</w:t>
            </w:r>
          </w:p>
        </w:tc>
        <w:tc>
          <w:tcPr>
            <w:tcW w:type="dxa" w:w="2556"/>
            <w:vAlign w:val="center"/>
          </w:tcPr>
          <w:p>
            <w:r>
              <w:rPr>
                <w:rFonts w:ascii="Times New Roman" w:hAnsi="Times New Roman"/>
                <w:sz w:val="18"/>
              </w:rPr>
              <w:t>REQ-24 cấm chỉnh sửa báo giá sau thanh toán, trái với REQ-23.</w:t>
            </w:r>
          </w:p>
        </w:tc>
        <w:tc>
          <w:tcPr>
            <w:tcW w:type="dxa" w:w="2556"/>
            <w:vAlign w:val="center"/>
          </w:tcPr>
          <w:p>
            <w:r>
              <w:rPr>
                <w:rFonts w:ascii="Times New Roman" w:hAnsi="Times New Roman"/>
                <w:sz w:val="18"/>
              </w:rPr>
              <w:t>Vi phạm Consistent</w:t>
            </w:r>
          </w:p>
        </w:tc>
        <w:tc>
          <w:tcPr>
            <w:tcW w:type="dxa" w:w="2556"/>
            <w:vAlign w:val="center"/>
          </w:tcPr>
          <w:p>
            <w:r>
              <w:rPr>
                <w:rFonts w:ascii="Times New Roman" w:hAnsi="Times New Roman"/>
                <w:sz w:val="18"/>
              </w:rPr>
              <w:t>Giữ một quy tắc duy nhất và cập nhật đồng bộ REQ-23/REQ-24.</w:t>
            </w:r>
          </w:p>
        </w:tc>
      </w:tr>
      <w:tr>
        <w:tc>
          <w:tcPr>
            <w:tcW w:type="dxa" w:w="2556"/>
            <w:vAlign w:val="center"/>
          </w:tcPr>
          <w:p>
            <w:r>
              <w:rPr>
                <w:rFonts w:ascii="Times New Roman" w:hAnsi="Times New Roman"/>
                <w:sz w:val="18"/>
              </w:rPr>
              <w:t>7</w:t>
            </w:r>
          </w:p>
        </w:tc>
        <w:tc>
          <w:tcPr>
            <w:tcW w:type="dxa" w:w="2556"/>
            <w:vAlign w:val="center"/>
          </w:tcPr>
          <w:p>
            <w:r>
              <w:rPr>
                <w:rFonts w:ascii="Times New Roman" w:hAnsi="Times New Roman"/>
                <w:sz w:val="18"/>
              </w:rPr>
              <w:t>REQ-23 và REQ-24 nằm ở trang 8 và 19 nhưng quy định khác nhau.</w:t>
            </w:r>
          </w:p>
        </w:tc>
        <w:tc>
          <w:tcPr>
            <w:tcW w:type="dxa" w:w="2556"/>
            <w:vAlign w:val="center"/>
          </w:tcPr>
          <w:p>
            <w:r>
              <w:rPr>
                <w:rFonts w:ascii="Times New Roman" w:hAnsi="Times New Roman"/>
                <w:sz w:val="18"/>
              </w:rPr>
              <w:t>Vi phạm Consistent + Modifiable</w:t>
            </w:r>
          </w:p>
        </w:tc>
        <w:tc>
          <w:tcPr>
            <w:tcW w:type="dxa" w:w="2556"/>
            <w:vAlign w:val="center"/>
          </w:tcPr>
          <w:p>
            <w:r>
              <w:rPr>
                <w:rFonts w:ascii="Times New Roman" w:hAnsi="Times New Roman"/>
                <w:sz w:val="18"/>
              </w:rPr>
              <w:t>Loại bỏ quy định mâu thuẫn và duy trì một nguồn yêu cầu chính thức.</w:t>
            </w:r>
          </w:p>
        </w:tc>
      </w:tr>
      <w:tr>
        <w:tc>
          <w:tcPr>
            <w:tcW w:type="dxa" w:w="2556"/>
            <w:vAlign w:val="center"/>
          </w:tcPr>
          <w:p>
            <w:r>
              <w:rPr>
                <w:rFonts w:ascii="Times New Roman" w:hAnsi="Times New Roman"/>
                <w:sz w:val="18"/>
              </w:rPr>
              <w:t>8</w:t>
            </w:r>
          </w:p>
        </w:tc>
        <w:tc>
          <w:tcPr>
            <w:tcW w:type="dxa" w:w="2556"/>
            <w:vAlign w:val="center"/>
          </w:tcPr>
          <w:p>
            <w:r>
              <w:rPr>
                <w:rFonts w:ascii="Times New Roman" w:hAnsi="Times New Roman"/>
                <w:sz w:val="18"/>
              </w:rPr>
              <w:t>REQ-25 dùng “có thể được cân nhắc” và “tùy nguồn lực”, không rõ có phải yêu cầu chính thức hay không.</w:t>
            </w:r>
          </w:p>
        </w:tc>
        <w:tc>
          <w:tcPr>
            <w:tcW w:type="dxa" w:w="2556"/>
            <w:vAlign w:val="center"/>
          </w:tcPr>
          <w:p>
            <w:r>
              <w:rPr>
                <w:rFonts w:ascii="Times New Roman" w:hAnsi="Times New Roman"/>
                <w:sz w:val="18"/>
              </w:rPr>
              <w:t>Vi phạm Unambiguous + Verifiable</w:t>
            </w:r>
          </w:p>
        </w:tc>
        <w:tc>
          <w:tcPr>
            <w:tcW w:type="dxa" w:w="2556"/>
            <w:vAlign w:val="center"/>
          </w:tcPr>
          <w:p>
            <w:r>
              <w:rPr>
                <w:rFonts w:ascii="Times New Roman" w:hAnsi="Times New Roman"/>
                <w:sz w:val="18"/>
              </w:rPr>
              <w:t>Xác định rõ phạm vi, nội dung yêu cầu và trạng thái.</w:t>
            </w:r>
          </w:p>
        </w:tc>
      </w:tr>
      <w:tr>
        <w:tc>
          <w:tcPr>
            <w:tcW w:type="dxa" w:w="2556"/>
            <w:vAlign w:val="center"/>
          </w:tcPr>
          <w:p>
            <w:r>
              <w:rPr>
                <w:rFonts w:ascii="Times New Roman" w:hAnsi="Times New Roman"/>
                <w:sz w:val="18"/>
              </w:rPr>
              <w:t>9</w:t>
            </w:r>
          </w:p>
        </w:tc>
        <w:tc>
          <w:tcPr>
            <w:tcW w:type="dxa" w:w="2556"/>
            <w:vAlign w:val="center"/>
          </w:tcPr>
          <w:p>
            <w:r>
              <w:rPr>
                <w:rFonts w:ascii="Times New Roman" w:hAnsi="Times New Roman"/>
                <w:sz w:val="18"/>
              </w:rPr>
              <w:t>REQ-25 chưa có mức độ ưu tiên.</w:t>
            </w:r>
          </w:p>
        </w:tc>
        <w:tc>
          <w:tcPr>
            <w:tcW w:type="dxa" w:w="2556"/>
            <w:vAlign w:val="center"/>
          </w:tcPr>
          <w:p>
            <w:r>
              <w:rPr>
                <w:rFonts w:ascii="Times New Roman" w:hAnsi="Times New Roman"/>
                <w:sz w:val="18"/>
              </w:rPr>
              <w:t>Vi phạm Ranked</w:t>
            </w:r>
          </w:p>
        </w:tc>
        <w:tc>
          <w:tcPr>
            <w:tcW w:type="dxa" w:w="2556"/>
            <w:vAlign w:val="center"/>
          </w:tcPr>
          <w:p>
            <w:r>
              <w:rPr>
                <w:rFonts w:ascii="Times New Roman" w:hAnsi="Times New Roman"/>
                <w:sz w:val="18"/>
              </w:rPr>
              <w:t>Gắn Priority, ví dụ Should Have (P2).</w:t>
            </w:r>
          </w:p>
        </w:tc>
      </w:tr>
      <w:tr>
        <w:tc>
          <w:tcPr>
            <w:tcW w:type="dxa" w:w="2556"/>
            <w:vAlign w:val="center"/>
          </w:tcPr>
          <w:p>
            <w:r>
              <w:rPr>
                <w:rFonts w:ascii="Times New Roman" w:hAnsi="Times New Roman"/>
                <w:sz w:val="18"/>
              </w:rPr>
              <w:t>10</w:t>
            </w:r>
          </w:p>
        </w:tc>
        <w:tc>
          <w:tcPr>
            <w:tcW w:type="dxa" w:w="2556"/>
            <w:vAlign w:val="center"/>
          </w:tcPr>
          <w:p>
            <w:r>
              <w:rPr>
                <w:rFonts w:ascii="Times New Roman" w:hAnsi="Times New Roman"/>
                <w:sz w:val="18"/>
              </w:rPr>
              <w:t>REQ-25 chưa có tiêu chí xác nhận cụ thể cho chức năng xuất PDF.</w:t>
            </w:r>
          </w:p>
        </w:tc>
        <w:tc>
          <w:tcPr>
            <w:tcW w:type="dxa" w:w="2556"/>
            <w:vAlign w:val="center"/>
          </w:tcPr>
          <w:p>
            <w:r>
              <w:rPr>
                <w:rFonts w:ascii="Times New Roman" w:hAnsi="Times New Roman"/>
                <w:sz w:val="18"/>
              </w:rPr>
              <w:t>Vi phạm Verifiable</w:t>
            </w:r>
          </w:p>
        </w:tc>
        <w:tc>
          <w:tcPr>
            <w:tcW w:type="dxa" w:w="2556"/>
            <w:vAlign w:val="center"/>
          </w:tcPr>
          <w:p>
            <w:r>
              <w:rPr>
                <w:rFonts w:ascii="Times New Roman" w:hAnsi="Times New Roman"/>
                <w:sz w:val="18"/>
              </w:rPr>
              <w:t>Quy định rõ điều kiện và nội dung bắt buộc của file PDF.</w:t>
            </w:r>
          </w:p>
        </w:tc>
      </w:tr>
      <w:tr>
        <w:tc>
          <w:tcPr>
            <w:tcW w:type="dxa" w:w="2556"/>
            <w:vAlign w:val="center"/>
          </w:tcPr>
          <w:p>
            <w:r>
              <w:rPr>
                <w:rFonts w:ascii="Times New Roman" w:hAnsi="Times New Roman"/>
                <w:sz w:val="18"/>
              </w:rPr>
              <w:t>11</w:t>
            </w:r>
          </w:p>
        </w:tc>
        <w:tc>
          <w:tcPr>
            <w:tcW w:type="dxa" w:w="2556"/>
            <w:vAlign w:val="center"/>
          </w:tcPr>
          <w:p>
            <w:r>
              <w:rPr>
                <w:rFonts w:ascii="Times New Roman" w:hAnsi="Times New Roman"/>
                <w:sz w:val="18"/>
              </w:rPr>
              <w:t>REQ-22 chưa xác định rõ sự kiện xác nhận thanh toán thành công.</w:t>
            </w:r>
          </w:p>
        </w:tc>
        <w:tc>
          <w:tcPr>
            <w:tcW w:type="dxa" w:w="2556"/>
            <w:vAlign w:val="center"/>
          </w:tcPr>
          <w:p>
            <w:r>
              <w:rPr>
                <w:rFonts w:ascii="Times New Roman" w:hAnsi="Times New Roman"/>
                <w:sz w:val="18"/>
              </w:rPr>
              <w:t>Vi phạm Unambiguous + Complete</w:t>
            </w:r>
          </w:p>
        </w:tc>
        <w:tc>
          <w:tcPr>
            <w:tcW w:type="dxa" w:w="2556"/>
            <w:vAlign w:val="center"/>
          </w:tcPr>
          <w:p>
            <w:r>
              <w:rPr>
                <w:rFonts w:ascii="Times New Roman" w:hAnsi="Times New Roman"/>
                <w:sz w:val="18"/>
              </w:rPr>
              <w:t>Xác định sự kiện kích hoạt là hệ thống nhận thanh toán thành công và đủ 100% giá trị hợp đồng.</w:t>
            </w:r>
          </w:p>
        </w:tc>
      </w:tr>
      <w:tr>
        <w:tc>
          <w:tcPr>
            <w:tcW w:type="dxa" w:w="2556"/>
            <w:vAlign w:val="center"/>
          </w:tcPr>
          <w:p>
            <w:r>
              <w:rPr>
                <w:rFonts w:ascii="Times New Roman" w:hAnsi="Times New Roman"/>
                <w:sz w:val="18"/>
              </w:rPr>
              <w:t>12</w:t>
            </w:r>
          </w:p>
        </w:tc>
        <w:tc>
          <w:tcPr>
            <w:tcW w:type="dxa" w:w="2556"/>
            <w:vAlign w:val="center"/>
          </w:tcPr>
          <w:p>
            <w:r>
              <w:rPr>
                <w:rFonts w:ascii="Times New Roman" w:hAnsi="Times New Roman"/>
                <w:sz w:val="18"/>
              </w:rPr>
              <w:t>Các REQ chưa thể hiện rõ quan hệ truy vết với Actor/Use Case.</w:t>
            </w:r>
          </w:p>
        </w:tc>
        <w:tc>
          <w:tcPr>
            <w:tcW w:type="dxa" w:w="2556"/>
            <w:vAlign w:val="center"/>
          </w:tcPr>
          <w:p>
            <w:r>
              <w:rPr>
                <w:rFonts w:ascii="Times New Roman" w:hAnsi="Times New Roman"/>
                <w:sz w:val="18"/>
              </w:rPr>
              <w:t>Vi phạm Traceable</w:t>
            </w:r>
          </w:p>
        </w:tc>
        <w:tc>
          <w:tcPr>
            <w:tcW w:type="dxa" w:w="2556"/>
            <w:vAlign w:val="center"/>
          </w:tcPr>
          <w:p>
            <w:r>
              <w:rPr>
                <w:rFonts w:ascii="Times New Roman" w:hAnsi="Times New Roman"/>
                <w:sz w:val="18"/>
              </w:rPr>
              <w:t>Bổ sung ma trận Requirement – Actor – Use Case – Priority.</w:t>
            </w:r>
          </w:p>
        </w:tc>
      </w:tr>
    </w:tbl>
    <w:p/>
    <w:p>
      <w:r>
        <w:rPr>
          <w:rFonts w:ascii="Times New Roman" w:hAnsi="Times New Roman"/>
          <w:b/>
          <w:sz w:val="28"/>
        </w:rPr>
        <w:t>BƯỚC 2 — BẢN CHỈNH SỬA HOÀN CHỈNH</w:t>
      </w:r>
    </w:p>
    <w:p>
      <w:r>
        <w:rPr>
          <w:rFonts w:ascii="Times New Roman" w:hAnsi="Times New Roman"/>
          <w:b/>
          <w:sz w:val="26"/>
        </w:rPr>
        <w:t>1.2 Scope</w:t>
      </w:r>
    </w:p>
    <w:p>
      <w:r>
        <w:t>Hệ thống hỗ trợ khách hàng doanh nghiệp tạo và quản lý yêu cầu đặt tour trọn gói cho đoàn từ 10 người trở lên, bao gồm tiếp nhận yêu cầu, báo giá, xác nhận thanh toán và quản lý trạng thái đặt tour.</w:t>
      </w:r>
    </w:p>
    <w:p>
      <w:r>
        <w:rPr>
          <w:rFonts w:ascii="Times New Roman" w:hAnsi="Times New Roman"/>
          <w:b/>
          <w:sz w:val="26"/>
        </w:rPr>
        <w:t>1.3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Times New Roman" w:hAnsi="Times New Roman"/>
                <w:b/>
                <w:sz w:val="18"/>
              </w:rPr>
              <w:t>Thuật ngữ</w:t>
            </w:r>
          </w:p>
        </w:tc>
        <w:tc>
          <w:tcPr>
            <w:tcW w:type="dxa" w:w="5112"/>
            <w:vAlign w:val="center"/>
          </w:tcPr>
          <w:p>
            <w:r>
              <w:rPr>
                <w:rFonts w:ascii="Times New Roman" w:hAnsi="Times New Roman"/>
                <w:b/>
                <w:sz w:val="18"/>
              </w:rPr>
              <w:t>Định nghĩa</w:t>
            </w:r>
          </w:p>
        </w:tc>
      </w:tr>
      <w:tr>
        <w:tc>
          <w:tcPr>
            <w:tcW w:type="dxa" w:w="5112"/>
            <w:vAlign w:val="center"/>
          </w:tcPr>
          <w:p>
            <w:r>
              <w:rPr>
                <w:rFonts w:ascii="Times New Roman" w:hAnsi="Times New Roman"/>
                <w:sz w:val="18"/>
              </w:rPr>
              <w:t>Khách hàng doanh nghiệp</w:t>
            </w:r>
          </w:p>
        </w:tc>
        <w:tc>
          <w:tcPr>
            <w:tcW w:type="dxa" w:w="5112"/>
            <w:vAlign w:val="center"/>
          </w:tcPr>
          <w:p>
            <w:r>
              <w:rPr>
                <w:rFonts w:ascii="Times New Roman" w:hAnsi="Times New Roman"/>
                <w:sz w:val="18"/>
              </w:rPr>
              <w:t>Tổ chức có nhu cầu đặt tour trọn gói cho đoàn từ 10 người trở lên.</w:t>
            </w:r>
          </w:p>
        </w:tc>
      </w:tr>
      <w:tr>
        <w:tc>
          <w:tcPr>
            <w:tcW w:type="dxa" w:w="5112"/>
            <w:vAlign w:val="center"/>
          </w:tcPr>
          <w:p>
            <w:r>
              <w:rPr>
                <w:rFonts w:ascii="Times New Roman" w:hAnsi="Times New Roman"/>
                <w:sz w:val="18"/>
              </w:rPr>
              <w:t>Nhân viên đặt tour</w:t>
            </w:r>
          </w:p>
        </w:tc>
        <w:tc>
          <w:tcPr>
            <w:tcW w:type="dxa" w:w="5112"/>
            <w:vAlign w:val="center"/>
          </w:tcPr>
          <w:p>
            <w:r>
              <w:rPr>
                <w:rFonts w:ascii="Times New Roman" w:hAnsi="Times New Roman"/>
                <w:sz w:val="18"/>
              </w:rPr>
              <w:t>Người đại diện phía khách hàng doanh nghiệp thực hiện yêu cầu đặt tour.</w:t>
            </w:r>
          </w:p>
        </w:tc>
      </w:tr>
      <w:tr>
        <w:tc>
          <w:tcPr>
            <w:tcW w:type="dxa" w:w="5112"/>
            <w:vAlign w:val="center"/>
          </w:tcPr>
          <w:p>
            <w:r>
              <w:rPr>
                <w:rFonts w:ascii="Times New Roman" w:hAnsi="Times New Roman"/>
                <w:sz w:val="18"/>
              </w:rPr>
              <w:t>Điều phối viên</w:t>
            </w:r>
          </w:p>
        </w:tc>
        <w:tc>
          <w:tcPr>
            <w:tcW w:type="dxa" w:w="5112"/>
            <w:vAlign w:val="center"/>
          </w:tcPr>
          <w:p>
            <w:r>
              <w:rPr>
                <w:rFonts w:ascii="Times New Roman" w:hAnsi="Times New Roman"/>
                <w:sz w:val="18"/>
              </w:rPr>
              <w:t>Nhân sự RikkeiTravel chịu trách nhiệm xử lý yêu cầu và báo giá tour.</w:t>
            </w:r>
          </w:p>
        </w:tc>
      </w:tr>
      <w:tr>
        <w:tc>
          <w:tcPr>
            <w:tcW w:type="dxa" w:w="5112"/>
            <w:vAlign w:val="center"/>
          </w:tcPr>
          <w:p>
            <w:r>
              <w:rPr>
                <w:rFonts w:ascii="Times New Roman" w:hAnsi="Times New Roman"/>
                <w:sz w:val="18"/>
              </w:rPr>
              <w:t>Báo giá</w:t>
            </w:r>
          </w:p>
        </w:tc>
        <w:tc>
          <w:tcPr>
            <w:tcW w:type="dxa" w:w="5112"/>
            <w:vAlign w:val="center"/>
          </w:tcPr>
          <w:p>
            <w:r>
              <w:rPr>
                <w:rFonts w:ascii="Times New Roman" w:hAnsi="Times New Roman"/>
                <w:sz w:val="18"/>
              </w:rPr>
              <w:t>Thông tin chi phí tour được RikkeiTravel cung cấp cho khách hàng doanh nghiệp.</w:t>
            </w:r>
          </w:p>
        </w:tc>
      </w:tr>
      <w:tr>
        <w:tc>
          <w:tcPr>
            <w:tcW w:type="dxa" w:w="5112"/>
            <w:vAlign w:val="center"/>
          </w:tcPr>
          <w:p>
            <w:r>
              <w:rPr>
                <w:rFonts w:ascii="Times New Roman" w:hAnsi="Times New Roman"/>
                <w:sz w:val="18"/>
              </w:rPr>
              <w:t>Hợp đồng</w:t>
            </w:r>
          </w:p>
        </w:tc>
        <w:tc>
          <w:tcPr>
            <w:tcW w:type="dxa" w:w="5112"/>
            <w:vAlign w:val="center"/>
          </w:tcPr>
          <w:p>
            <w:r>
              <w:rPr>
                <w:rFonts w:ascii="Times New Roman" w:hAnsi="Times New Roman"/>
                <w:sz w:val="18"/>
              </w:rPr>
              <w:t>Thỏa thuận đặt tour giữa khách hàng doanh nghiệp và RikkeiTravel.</w:t>
            </w:r>
          </w:p>
        </w:tc>
      </w:tr>
    </w:tbl>
    <w:p>
      <w:r>
        <w:t>Sơ đồ ERD không đặt tại mục Definitions.</w:t>
      </w:r>
    </w:p>
    <w:p>
      <w:r>
        <w:rPr>
          <w:rFonts w:ascii="Times New Roman" w:hAnsi="Times New Roman"/>
          <w:b/>
          <w:sz w:val="26"/>
        </w:rPr>
        <w:t>3.2 Functional Requirements</w:t>
      </w:r>
    </w:p>
    <w:p>
      <w:r>
        <w:t>Actor chính:</w:t>
      </w:r>
    </w:p>
    <w:p>
      <w:r>
        <w:t>1. Nhân viên đặt tour – phía khách hàng doanh nghiệp.</w:t>
      </w:r>
    </w:p>
    <w:p>
      <w:r>
        <w:t>2. Điều phối viên RikkeiTravel – phía RikkeiTravel.</w:t>
      </w:r>
    </w:p>
    <w:p>
      <w:r>
        <w:t>Use Case chính:</w:t>
      </w:r>
    </w:p>
    <w:p>
      <w:r>
        <w:t>• Tạo yêu cầu đặt tour.</w:t>
      </w:r>
    </w:p>
    <w:p>
      <w:r>
        <w:t>• Duyệt báo giá.</w:t>
      </w:r>
    </w:p>
    <w:p>
      <w:r>
        <w:t>• Xác nhận thanh toán.</w:t>
      </w:r>
    </w:p>
    <w:p>
      <w:r>
        <w:rPr>
          <w:rFonts w:ascii="Times New Roman" w:hAnsi="Times New Roman"/>
          <w:b/>
          <w:sz w:val="24"/>
        </w:rPr>
        <w:t>REQ-21 — Phản hồi báo giá</w:t>
      </w:r>
    </w:p>
    <w:p>
      <w:r>
        <w:t>Priority: Must Have</w:t>
      </w:r>
    </w:p>
    <w:p>
      <w:r>
        <w:t>Sau khi hệ thống nhận được yêu cầu đặt tour hợp lệ, hệ thống phải tạo và hiển thị thông tin báo giá cho Nhân viên đặt tour trong thời gian không quá 3 giây đối với ít nhất 95% số yêu cầu, trong điều kiện hệ thống hoạt động bình thường.</w:t>
      </w:r>
    </w:p>
    <w:p>
      <w:r>
        <w:rPr>
          <w:rFonts w:ascii="Times New Roman" w:hAnsi="Times New Roman"/>
          <w:b/>
          <w:sz w:val="24"/>
        </w:rPr>
        <w:t>REQ-22 — Xác nhận thanh toán</w:t>
      </w:r>
    </w:p>
    <w:p>
      <w:r>
        <w:t>Priority: Must Have</w:t>
      </w:r>
    </w:p>
    <w:p>
      <w:r>
        <w:t>Khi hệ thống nhận được thông báo thanh toán thành công và xác nhận tổng số tiền khách hàng đã thanh toán bằng 100% giá trị hợp đồng, hệ thống phải tự động chuyển trạng thái đơn đặt tour sang “Đã xác nhận”.</w:t>
      </w:r>
    </w:p>
    <w:p>
      <w:r>
        <w:t>Nếu số tiền thanh toán nhỏ hơn 100% giá trị hợp đồng, hệ thống không được chuyển trạng thái sang “Đã xác nhận” và phải duy trì trạng thái thanh toán chưa hoàn tất.</w:t>
      </w:r>
    </w:p>
    <w:p>
      <w:r>
        <w:t>Nếu giao dịch thanh toán thất bại, hệ thống phải thông báo trạng thái thanh toán thất bại và không chuyển đơn sang trạng thái “Đã xác nhận”.</w:t>
      </w:r>
    </w:p>
    <w:p>
      <w:r>
        <w:rPr>
          <w:rFonts w:ascii="Times New Roman" w:hAnsi="Times New Roman"/>
          <w:b/>
          <w:sz w:val="24"/>
        </w:rPr>
        <w:t>Xử lý mâu thuẫn REQ-23 và REQ-24</w:t>
      </w:r>
    </w:p>
    <w:p>
      <w:r>
        <w:t>Quy tắc nghiệp vụ BR-01: Sau khi khách hàng xác nhận thanh toán đủ 100% giá trị hợp đồng, báo giá được khóa và không được phép chỉnh sửa. Mọi thay đổi sau thời điểm này phải được thực hiện thông qua một quy trình điều chỉnh hợp đồng riêng và phải được phê duyệt theo quy định nghiệp vụ.</w:t>
      </w:r>
    </w:p>
    <w:p>
      <w:r>
        <w:rPr>
          <w:rFonts w:ascii="Times New Roman" w:hAnsi="Times New Roman"/>
          <w:b/>
          <w:sz w:val="24"/>
        </w:rPr>
        <w:t>REQ-23 — Chỉnh sửa báo giá</w:t>
      </w:r>
    </w:p>
    <w:p>
      <w:r>
        <w:t>Priority: Must Have</w:t>
      </w:r>
    </w:p>
    <w:p>
      <w:r>
        <w:t>Điều phối viên RikkeiTravel có thể chỉnh sửa báo giá khi báo giá chưa được khách hàng xác nhận thanh toán đủ 100% giá trị hợp đồng.</w:t>
      </w:r>
    </w:p>
    <w:p>
      <w:r>
        <w:rPr>
          <w:rFonts w:ascii="Times New Roman" w:hAnsi="Times New Roman"/>
          <w:b/>
          <w:sz w:val="24"/>
        </w:rPr>
        <w:t>REQ-24 — Khóa báo giá</w:t>
      </w:r>
    </w:p>
    <w:p>
      <w:r>
        <w:t>Priority: Must Have</w:t>
      </w:r>
    </w:p>
    <w:p>
      <w:r>
        <w:t>Khi khách hàng xác nhận thanh toán đủ 100% giá trị hợp đồng, hệ thống phải khóa báo giá và không cho phép Điều phối viên hoặc người dùng khác chỉnh sửa thông tin báo giá.</w:t>
      </w:r>
    </w:p>
    <w:p>
      <w:r>
        <w:rPr>
          <w:rFonts w:ascii="Times New Roman" w:hAnsi="Times New Roman"/>
          <w:b/>
          <w:sz w:val="24"/>
        </w:rPr>
        <w:t>REQ-25 — Xuất báo giá PDF</w:t>
      </w:r>
    </w:p>
    <w:p>
      <w:r>
        <w:t>Priority: Should Have (P2)</w:t>
      </w:r>
    </w:p>
    <w:p>
      <w:r>
        <w:t>Hệ thống phải cho phép Điều phối viên xuất báo giá đã được tạo thành file PDF. File PDF phải chứa tối thiểu mã báo giá, thông tin khách hàng doanh nghiệp, thông tin tour, thời gian tour, số lượng khách, tổng giá trị báo giá và ngày tạo báo giá.</w:t>
      </w:r>
    </w:p>
    <w:p>
      <w:r>
        <w:t>Tiêu chí kiểm thử: Khi Điều phối viên chọn chức năng “Xuất PDF” đối với một báo giá hợp lệ, hệ thống phải tạo được file PDF và file phải chứa đầy đủ các thông tin bắt buộc nêu trên.</w:t>
      </w:r>
    </w:p>
    <w:p>
      <w:r>
        <w:rPr>
          <w:rFonts w:ascii="Times New Roman" w:hAnsi="Times New Roman"/>
          <w:b/>
          <w:sz w:val="26"/>
        </w:rPr>
        <w:t>3.4 Logical Database Requirements</w:t>
      </w:r>
    </w:p>
    <w:p>
      <w:r>
        <w:t>Sơ đồ ERD Yêu cầu đặt tour – Báo giá – Hợp đồng được đặt tại mục này. Sơ đồ thể hiện các thực thể dữ liệu chính và mối quan hệ giữa Yêu cầu đặt tour, Báo giá và Hợp đồng, hỗ trợ đặc tả cấu trúc dữ liệu logic của phân hệ.</w:t>
      </w:r>
    </w:p>
    <w:p>
      <w:r>
        <w:rPr>
          <w:rFonts w:ascii="Times New Roman" w:hAnsi="Times New Roman"/>
          <w:b/>
          <w:sz w:val="26"/>
        </w:rPr>
        <w:t>Ma trận truy vết đề xuất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Times New Roman" w:hAnsi="Times New Roman"/>
                <w:b/>
                <w:sz w:val="18"/>
              </w:rPr>
              <w:t>Requirement</w:t>
            </w:r>
          </w:p>
        </w:tc>
        <w:tc>
          <w:tcPr>
            <w:tcW w:type="dxa" w:w="2556"/>
            <w:vAlign w:val="center"/>
          </w:tcPr>
          <w:p>
            <w:r>
              <w:rPr>
                <w:rFonts w:ascii="Times New Roman" w:hAnsi="Times New Roman"/>
                <w:b/>
                <w:sz w:val="18"/>
              </w:rPr>
              <w:t>Actor</w:t>
            </w:r>
          </w:p>
        </w:tc>
        <w:tc>
          <w:tcPr>
            <w:tcW w:type="dxa" w:w="2556"/>
            <w:vAlign w:val="center"/>
          </w:tcPr>
          <w:p>
            <w:r>
              <w:rPr>
                <w:rFonts w:ascii="Times New Roman" w:hAnsi="Times New Roman"/>
                <w:b/>
                <w:sz w:val="18"/>
              </w:rPr>
              <w:t>Use Case</w:t>
            </w:r>
          </w:p>
        </w:tc>
        <w:tc>
          <w:tcPr>
            <w:tcW w:type="dxa" w:w="2556"/>
            <w:vAlign w:val="center"/>
          </w:tcPr>
          <w:p>
            <w:r>
              <w:rPr>
                <w:rFonts w:ascii="Times New Roman" w:hAnsi="Times New Roman"/>
                <w:b/>
                <w:sz w:val="18"/>
              </w:rPr>
              <w:t>Priority</w:t>
            </w:r>
          </w:p>
        </w:tc>
      </w:tr>
      <w:tr>
        <w:tc>
          <w:tcPr>
            <w:tcW w:type="dxa" w:w="2556"/>
            <w:vAlign w:val="center"/>
          </w:tcPr>
          <w:p>
            <w:r>
              <w:rPr>
                <w:rFonts w:ascii="Times New Roman" w:hAnsi="Times New Roman"/>
                <w:sz w:val="18"/>
              </w:rPr>
              <w:t>REQ-21</w:t>
            </w:r>
          </w:p>
        </w:tc>
        <w:tc>
          <w:tcPr>
            <w:tcW w:type="dxa" w:w="2556"/>
            <w:vAlign w:val="center"/>
          </w:tcPr>
          <w:p>
            <w:r>
              <w:rPr>
                <w:rFonts w:ascii="Times New Roman" w:hAnsi="Times New Roman"/>
                <w:sz w:val="18"/>
              </w:rPr>
              <w:t>Điều phối viên / Nhân viên đặt tour</w:t>
            </w:r>
          </w:p>
        </w:tc>
        <w:tc>
          <w:tcPr>
            <w:tcW w:type="dxa" w:w="2556"/>
            <w:vAlign w:val="center"/>
          </w:tcPr>
          <w:p>
            <w:r>
              <w:rPr>
                <w:rFonts w:ascii="Times New Roman" w:hAnsi="Times New Roman"/>
                <w:sz w:val="18"/>
              </w:rPr>
              <w:t>Tạo yêu cầu đặt tour / Duyệt báo giá</w:t>
            </w:r>
          </w:p>
        </w:tc>
        <w:tc>
          <w:tcPr>
            <w:tcW w:type="dxa" w:w="2556"/>
            <w:vAlign w:val="center"/>
          </w:tcPr>
          <w:p>
            <w:r>
              <w:rPr>
                <w:rFonts w:ascii="Times New Roman" w:hAnsi="Times New Roman"/>
                <w:sz w:val="18"/>
              </w:rPr>
              <w:t>Must Have</w:t>
            </w:r>
          </w:p>
        </w:tc>
      </w:tr>
      <w:tr>
        <w:tc>
          <w:tcPr>
            <w:tcW w:type="dxa" w:w="2556"/>
            <w:vAlign w:val="center"/>
          </w:tcPr>
          <w:p>
            <w:r>
              <w:rPr>
                <w:rFonts w:ascii="Times New Roman" w:hAnsi="Times New Roman"/>
                <w:sz w:val="18"/>
              </w:rPr>
              <w:t>REQ-22</w:t>
            </w:r>
          </w:p>
        </w:tc>
        <w:tc>
          <w:tcPr>
            <w:tcW w:type="dxa" w:w="2556"/>
            <w:vAlign w:val="center"/>
          </w:tcPr>
          <w:p>
            <w:r>
              <w:rPr>
                <w:rFonts w:ascii="Times New Roman" w:hAnsi="Times New Roman"/>
                <w:sz w:val="18"/>
              </w:rPr>
              <w:t>Nhân viên đặt tour</w:t>
            </w:r>
          </w:p>
        </w:tc>
        <w:tc>
          <w:tcPr>
            <w:tcW w:type="dxa" w:w="2556"/>
            <w:vAlign w:val="center"/>
          </w:tcPr>
          <w:p>
            <w:r>
              <w:rPr>
                <w:rFonts w:ascii="Times New Roman" w:hAnsi="Times New Roman"/>
                <w:sz w:val="18"/>
              </w:rPr>
              <w:t>Xác nhận thanh toán</w:t>
            </w:r>
          </w:p>
        </w:tc>
        <w:tc>
          <w:tcPr>
            <w:tcW w:type="dxa" w:w="2556"/>
            <w:vAlign w:val="center"/>
          </w:tcPr>
          <w:p>
            <w:r>
              <w:rPr>
                <w:rFonts w:ascii="Times New Roman" w:hAnsi="Times New Roman"/>
                <w:sz w:val="18"/>
              </w:rPr>
              <w:t>Must Have</w:t>
            </w:r>
          </w:p>
        </w:tc>
      </w:tr>
      <w:tr>
        <w:tc>
          <w:tcPr>
            <w:tcW w:type="dxa" w:w="2556"/>
            <w:vAlign w:val="center"/>
          </w:tcPr>
          <w:p>
            <w:r>
              <w:rPr>
                <w:rFonts w:ascii="Times New Roman" w:hAnsi="Times New Roman"/>
                <w:sz w:val="18"/>
              </w:rPr>
              <w:t>REQ-23</w:t>
            </w:r>
          </w:p>
        </w:tc>
        <w:tc>
          <w:tcPr>
            <w:tcW w:type="dxa" w:w="2556"/>
            <w:vAlign w:val="center"/>
          </w:tcPr>
          <w:p>
            <w:r>
              <w:rPr>
                <w:rFonts w:ascii="Times New Roman" w:hAnsi="Times New Roman"/>
                <w:sz w:val="18"/>
              </w:rPr>
              <w:t>Điều phối viên</w:t>
            </w:r>
          </w:p>
        </w:tc>
        <w:tc>
          <w:tcPr>
            <w:tcW w:type="dxa" w:w="2556"/>
            <w:vAlign w:val="center"/>
          </w:tcPr>
          <w:p>
            <w:r>
              <w:rPr>
                <w:rFonts w:ascii="Times New Roman" w:hAnsi="Times New Roman"/>
                <w:sz w:val="18"/>
              </w:rPr>
              <w:t>Duyệt báo giá</w:t>
            </w:r>
          </w:p>
        </w:tc>
        <w:tc>
          <w:tcPr>
            <w:tcW w:type="dxa" w:w="2556"/>
            <w:vAlign w:val="center"/>
          </w:tcPr>
          <w:p>
            <w:r>
              <w:rPr>
                <w:rFonts w:ascii="Times New Roman" w:hAnsi="Times New Roman"/>
                <w:sz w:val="18"/>
              </w:rPr>
              <w:t>Must Have</w:t>
            </w:r>
          </w:p>
        </w:tc>
      </w:tr>
      <w:tr>
        <w:tc>
          <w:tcPr>
            <w:tcW w:type="dxa" w:w="2556"/>
            <w:vAlign w:val="center"/>
          </w:tcPr>
          <w:p>
            <w:r>
              <w:rPr>
                <w:rFonts w:ascii="Times New Roman" w:hAnsi="Times New Roman"/>
                <w:sz w:val="18"/>
              </w:rPr>
              <w:t>REQ-24</w:t>
            </w:r>
          </w:p>
        </w:tc>
        <w:tc>
          <w:tcPr>
            <w:tcW w:type="dxa" w:w="2556"/>
            <w:vAlign w:val="center"/>
          </w:tcPr>
          <w:p>
            <w:r>
              <w:rPr>
                <w:rFonts w:ascii="Times New Roman" w:hAnsi="Times New Roman"/>
                <w:sz w:val="18"/>
              </w:rPr>
              <w:t>Điều phối viên / Nhân viên đặt tour</w:t>
            </w:r>
          </w:p>
        </w:tc>
        <w:tc>
          <w:tcPr>
            <w:tcW w:type="dxa" w:w="2556"/>
            <w:vAlign w:val="center"/>
          </w:tcPr>
          <w:p>
            <w:r>
              <w:rPr>
                <w:rFonts w:ascii="Times New Roman" w:hAnsi="Times New Roman"/>
                <w:sz w:val="18"/>
              </w:rPr>
              <w:t>Xác nhận thanh toán</w:t>
            </w:r>
          </w:p>
        </w:tc>
        <w:tc>
          <w:tcPr>
            <w:tcW w:type="dxa" w:w="2556"/>
            <w:vAlign w:val="center"/>
          </w:tcPr>
          <w:p>
            <w:r>
              <w:rPr>
                <w:rFonts w:ascii="Times New Roman" w:hAnsi="Times New Roman"/>
                <w:sz w:val="18"/>
              </w:rPr>
              <w:t>Must Have</w:t>
            </w:r>
          </w:p>
        </w:tc>
      </w:tr>
      <w:tr>
        <w:tc>
          <w:tcPr>
            <w:tcW w:type="dxa" w:w="2556"/>
            <w:vAlign w:val="center"/>
          </w:tcPr>
          <w:p>
            <w:r>
              <w:rPr>
                <w:rFonts w:ascii="Times New Roman" w:hAnsi="Times New Roman"/>
                <w:sz w:val="18"/>
              </w:rPr>
              <w:t>REQ-25</w:t>
            </w:r>
          </w:p>
        </w:tc>
        <w:tc>
          <w:tcPr>
            <w:tcW w:type="dxa" w:w="2556"/>
            <w:vAlign w:val="center"/>
          </w:tcPr>
          <w:p>
            <w:r>
              <w:rPr>
                <w:rFonts w:ascii="Times New Roman" w:hAnsi="Times New Roman"/>
                <w:sz w:val="18"/>
              </w:rPr>
              <w:t>Điều phối viên</w:t>
            </w:r>
          </w:p>
        </w:tc>
        <w:tc>
          <w:tcPr>
            <w:tcW w:type="dxa" w:w="2556"/>
            <w:vAlign w:val="center"/>
          </w:tcPr>
          <w:p>
            <w:r>
              <w:rPr>
                <w:rFonts w:ascii="Times New Roman" w:hAnsi="Times New Roman"/>
                <w:sz w:val="18"/>
              </w:rPr>
              <w:t>Duyệt báo giá</w:t>
            </w:r>
          </w:p>
        </w:tc>
        <w:tc>
          <w:tcPr>
            <w:tcW w:type="dxa" w:w="2556"/>
            <w:vAlign w:val="center"/>
          </w:tcPr>
          <w:p>
            <w:r>
              <w:rPr>
                <w:rFonts w:ascii="Times New Roman" w:hAnsi="Times New Roman"/>
                <w:sz w:val="18"/>
              </w:rPr>
              <w:t>Should Have</w:t>
            </w:r>
          </w:p>
        </w:tc>
      </w:tr>
    </w:tbl>
    <w:p>
      <w:r>
        <w:rPr>
          <w:rFonts w:ascii="Times New Roman" w:hAnsi="Times New Roman"/>
          <w:b/>
          <w:sz w:val="26"/>
        </w:rPr>
        <w:t>Kết luận rà soát</w:t>
      </w:r>
    </w:p>
    <w:p>
      <w:r>
        <w:t>Bản thảo ban đầu có ba nhóm vấn đề chính: (1) sai cấu trúc IEEE 830 khi Actor/Use Case bị đặt vào Constraints và ERD bị đặt vào Definitions; (2) các yêu cầu có nội dung mơ hồ, thiếu điều kiện và khó kiểm chứng; (3) REQ-23 và REQ-24 mâu thuẫn trực tiếp. Bản chỉnh sửa thống nhất quy tắc: đã thanh toán đủ 100% giá trị hợp đồng thì báo giá bị khóa, đồng thời bổ sung mức ưu tiên và tiêu chí kiểm thử cho REQ-25.</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