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</w:pPr>
      <w:r>
        <w:rPr>
          <w:rFonts w:ascii="Calibri" w:hAnsi="Calibri"/>
          <w:b/>
          <w:color w:val="B8860B"/>
          <w:sz w:val="30"/>
        </w:rPr>
        <w:t>MERIDIAN — PHASE 2</w:t>
      </w:r>
    </w:p>
    <w:p>
      <w:pPr>
        <w:spacing w:before="80" w:after="40"/>
      </w:pPr>
      <w:r>
        <w:rPr>
          <w:rFonts w:ascii="Calibri" w:hAnsi="Calibri"/>
          <w:b/>
          <w:color w:val="161B2C"/>
          <w:sz w:val="60"/>
        </w:rPr>
        <w:t>Client Discovery &amp; Requirements</w:t>
      </w:r>
    </w:p>
    <w:p>
      <w:pPr>
        <w:spacing w:after="4400"/>
      </w:pPr>
      <w:r>
        <w:rPr>
          <w:i/>
          <w:color w:val="475569"/>
          <w:sz w:val="26"/>
        </w:rPr>
        <w:t>Video rooms, trade broadcasting, and a €250 funded tier — scoped before any of it is built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Date</w:t>
            </w:r>
          </w:p>
        </w:tc>
        <w:tc>
          <w:tcPr>
            <w:tcW w:type="dxa" w:w="705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September 03, 2026</w:t>
            </w:r>
          </w:p>
        </w:tc>
      </w:tr>
      <w:tr>
        <w:tc>
          <w:tcPr>
            <w:tcW w:type="dxa" w:w="23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Project</w:t>
            </w:r>
          </w:p>
        </w:tc>
        <w:tc>
          <w:tcPr>
            <w:tcW w:type="dxa" w:w="705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trading-platform (“Meridian”)</w:t>
            </w:r>
          </w:p>
        </w:tc>
      </w:tr>
      <w:tr>
        <w:tc>
          <w:tcPr>
            <w:tcW w:type="dxa" w:w="23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Purpose</w:t>
            </w:r>
          </w:p>
        </w:tc>
        <w:tc>
          <w:tcPr>
            <w:tcW w:type="dxa" w:w="705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Confirm Phase 2 scope, gather your answers, flag what needs legal input first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8" w:space="6" w:color="D9DEE6"/>
        </w:pBdr>
      </w:pPr>
      <w:r>
        <w:rPr>
          <w:rFonts w:ascii="Calibri" w:hAnsi="Calibri"/>
          <w:b/>
          <w:color w:val="161B2C"/>
          <w:sz w:val="34"/>
        </w:rPr>
        <w:t>Quick Summary</w:t>
      </w:r>
    </w:p>
    <w:p>
      <w:pPr>
        <w:spacing w:after="160"/>
      </w:pPr>
      <w:r>
        <w:rPr>
          <w:b w:val="0"/>
          <w:i w:val="0"/>
          <w:color w:val="222733"/>
          <w:sz w:val="21"/>
        </w:rPr>
        <w:t>Meridian v1 (the paper-trading demo) is done and unchanged. Phase 2 proposes three additions: video consultation rooms, instant trade-broadcast notifications, and a real-money funded tier starting at a €250 minimum deposit. None of this is built yet — this document scopes it and collects your answers before we write any code.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BE4E4"/>
            <w:tcBorders>
              <w:top w:val="single" w:sz="4" w:space="0" w:color="E8A0A0"/>
              <w:left w:val="single" w:sz="4" w:space="0" w:color="E8A0A0"/>
              <w:bottom w:val="single" w:sz="4" w:space="0" w:color="E8A0A0"/>
              <w:right w:val="single" w:sz="4" w:space="0" w:color="E8A0A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b/>
                <w:color w:val="B91C1C"/>
                <w:sz w:val="17"/>
              </w:rPr>
              <w:t>READ THIS FIRST</w:t>
            </w:r>
          </w:p>
          <w:p>
            <w:pPr>
              <w:spacing w:before="40"/>
            </w:pPr>
            <w:r>
              <w:rPr>
                <w:color w:val="161B2C"/>
                <w:sz w:val="20"/>
              </w:rPr>
              <w:t>Adding real deposits and trade broadcasting changes what kind of business this is. A demo with fake money is software. A platform that takes real deposits and tells subscribers what to copy is a financial service — and in the EU, copy-trading has a specific regulatory classification (see Section 4) that decides whether this needs a license before launch, not after. This isn't a reason to slow down — it's the reason the build order in Section 6 puts the legal-sensitive piece last.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6" w:color="D9DEE6"/>
        </w:pBdr>
      </w:pPr>
      <w:r>
        <w:rPr>
          <w:rFonts w:ascii="Calibri" w:hAnsi="Calibri"/>
          <w:b/>
          <w:color w:val="161B2C"/>
          <w:sz w:val="34"/>
        </w:rPr>
        <w:t>What's Built So Far (v1, unchanged)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3D background canvas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Done — no changes proposed</w:t>
            </w:r>
          </w:p>
        </w:tc>
      </w:tr>
      <w:t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Paper trading engine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Done — $100,000 mock balance, 6 instruments, live order book</w:t>
            </w:r>
          </w:p>
        </w:tc>
      </w:tr>
      <w:t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Order execution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Done — Market/Limit orders, portfolio &amp; activity log</w:t>
            </w:r>
          </w:p>
        </w:tc>
      </w:tr>
      <w:t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Accounts, real data, video, notifications, real money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Not built — all proposed below</w:t>
            </w:r>
          </w:p>
        </w:tc>
      </w:tr>
    </w:tbl>
    <w:p>
      <w:pPr>
        <w:spacing w:after="40"/>
      </w:pPr>
    </w:p>
    <w:p>
      <w:pPr>
        <w:keepNext/>
        <w:spacing w:before="360" w:after="160"/>
        <w:pBdr>
          <w:bottom w:val="single" w:sz="8" w:space="6" w:color="D9DEE6"/>
        </w:pBdr>
      </w:pPr>
      <w:r>
        <w:rPr>
          <w:rFonts w:ascii="Calibri" w:hAnsi="Calibri"/>
          <w:b/>
          <w:color w:val="161B2C"/>
          <w:sz w:val="34"/>
        </w:rPr>
        <w:t>Phase 2 Additions (Proposed)</w:t>
      </w:r>
    </w:p>
    <w:p>
      <w:pPr>
        <w:keepNext/>
        <w:spacing w:before="360" w:after="160"/>
      </w:pPr>
      <w:r>
        <w:rPr>
          <w:rFonts w:ascii="Calibri" w:hAnsi="Calibri"/>
          <w:b/>
          <w:color w:val="161B2C"/>
          <w:sz w:val="26"/>
        </w:rPr>
        <w:t>Video Call &amp; Communication Suite</w:t>
      </w:r>
    </w:p>
    <w:p>
      <w:pPr>
        <w:spacing w:after="160"/>
      </w:pPr>
      <w:r>
        <w:rPr>
          <w:b w:val="0"/>
          <w:i w:val="0"/>
          <w:color w:val="222733"/>
          <w:sz w:val="21"/>
        </w:rPr>
        <w:t>Admin-hosted 1:1 consultations and/or group live-trading rooms, plus a direct-message support channel. Built on a hosted video provider (not raw WebRTC) — see Section 5 for the vendor pick. A booking/scheduling flow is a separate piece this needs.</w:t>
      </w:r>
    </w:p>
    <w:p>
      <w:pPr>
        <w:keepNext/>
        <w:spacing w:before="360" w:after="160"/>
      </w:pPr>
      <w:r>
        <w:rPr>
          <w:rFonts w:ascii="Calibri" w:hAnsi="Calibri"/>
          <w:b/>
          <w:color w:val="161B2C"/>
          <w:sz w:val="26"/>
        </w:rPr>
        <w:t>Trade Broadcast Notification System</w:t>
      </w:r>
    </w:p>
    <w:p>
      <w:pPr>
        <w:spacing w:after="160"/>
      </w:pPr>
      <w:r>
        <w:rPr>
          <w:b w:val="0"/>
          <w:i w:val="0"/>
          <w:color w:val="222733"/>
          <w:sz w:val="21"/>
        </w:rPr>
        <w:t>The instant an admin executes a trade, subscribed users get an alert — in-app and/or push notification.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BE4E4"/>
            <w:tcBorders>
              <w:top w:val="single" w:sz="4" w:space="0" w:color="E8A0A0"/>
              <w:left w:val="single" w:sz="4" w:space="0" w:color="E8A0A0"/>
              <w:bottom w:val="single" w:sz="4" w:space="0" w:color="E8A0A0"/>
              <w:right w:val="single" w:sz="4" w:space="0" w:color="E8A0A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b/>
                <w:color w:val="B91C1C"/>
                <w:sz w:val="17"/>
              </w:rPr>
              <w:t>THE MOST IMPORTANT DECISION IN THIS DOCUMENT</w:t>
            </w:r>
          </w:p>
          <w:p>
            <w:pPr>
              <w:spacing w:before="40"/>
            </w:pPr>
            <w:r>
              <w:rPr>
                <w:color w:val="161B2C"/>
                <w:sz w:val="20"/>
              </w:rPr>
              <w:t>EU regulators have published explicit guidance on this exact feature: if the platform automatically places the trade into a follower's account, that is legally “portfolio management” and requires a MiFID license — regardless of deposit size. If the system only notifies the user and a person manually places their own order, it does not trigger that classification. Recommendation: build this as notify-only by design. Automatic replication is a separate, later decision requiring its own legal review before any code is written for it.</w:t>
            </w:r>
          </w:p>
        </w:tc>
      </w:tr>
    </w:tbl>
    <w:p>
      <w:pPr>
        <w:spacing w:after="40"/>
      </w:pPr>
    </w:p>
    <w:p>
      <w:pPr>
        <w:keepNext/>
        <w:spacing w:before="360" w:after="160"/>
      </w:pPr>
      <w:r>
        <w:rPr>
          <w:rFonts w:ascii="Calibri" w:hAnsi="Calibri"/>
          <w:b/>
          <w:color w:val="161B2C"/>
          <w:sz w:val="26"/>
        </w:rPr>
        <w:t>Funded Tier — €250 Minimum Deposit</w:t>
      </w:r>
    </w:p>
    <w:p>
      <w:pPr>
        <w:spacing w:after="160"/>
      </w:pPr>
      <w:r>
        <w:rPr>
          <w:b w:val="0"/>
          <w:i w:val="0"/>
          <w:color w:val="222733"/>
          <w:sz w:val="21"/>
        </w:rPr>
        <w:t>A real-money tier alongside the existing free practice tier. Real deposits mean: (1) KYC becomes mandatory, not optional; (2) funds are routed through a licensed broker partner rather than held directly — self-custody needs $250,000+ in licensing, a partner avoids that; (3) since € signals EU/UK users, the broker partner needs EU/UK regulatory coverage, not just US coverage.</w:t>
      </w:r>
    </w:p>
    <w:p>
      <w:pPr>
        <w:keepNext/>
        <w:spacing w:before="360" w:after="160"/>
        <w:pBdr>
          <w:bottom w:val="single" w:sz="8" w:space="6" w:color="D9DEE6"/>
        </w:pBdr>
      </w:pPr>
      <w:r>
        <w:rPr>
          <w:rFonts w:ascii="Calibri" w:hAnsi="Calibri"/>
          <w:b/>
          <w:color w:val="161B2C"/>
          <w:sz w:val="34"/>
        </w:rPr>
        <w:t>Brand Identity (Retained &amp; Validated)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Trademark Risk</w:t>
            </w:r>
          </w:p>
        </w:tc>
      </w:tr>
      <w:t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Apex Meridian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None — extends the existing name</w:t>
            </w:r>
          </w:p>
        </w:tc>
      </w:tr>
      <w:t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Voidpoint Capital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None — original, matches existing design tokens</w:t>
            </w:r>
          </w:p>
        </w:tc>
      </w:tr>
      <w:tr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Lodestar Exchange</w:t>
            </w:r>
          </w:p>
        </w:tc>
        <w:tc>
          <w:tcPr>
            <w:tcW w:type="dxa" w:w="468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None — real historical navigation term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475569"/>
          <w:sz w:val="19"/>
        </w:rPr>
        <w:t>Logo shortlist: the Anchor, the Pulse/Sonar Orb, and the Chart + Starburst — all original marks, zero trademark exposure. (Names and logos with real trademark risk — GrandLine Capital, LogPose Financial, New World Capital, Pone Markets — were reviewed and excluded in the prior branding pass.)</w:t>
      </w:r>
    </w:p>
    <w:p>
      <w:r>
        <w:br w:type="page"/>
      </w:r>
    </w:p>
    <w:p>
      <w:pPr>
        <w:keepNext/>
        <w:spacing w:before="360" w:after="160"/>
        <w:pBdr>
          <w:bottom w:val="single" w:sz="8" w:space="6" w:color="D9DEE6"/>
        </w:pBdr>
      </w:pPr>
      <w:r>
        <w:rPr>
          <w:rFonts w:ascii="Calibri" w:hAnsi="Calibri"/>
          <w:b/>
          <w:color w:val="161B2C"/>
          <w:sz w:val="34"/>
        </w:rPr>
        <w:t>Annual Pricing &amp; Financial Infrastructure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Service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Responsible For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Est. Cost / Year</w:t>
            </w:r>
          </w:p>
        </w:tc>
      </w:tr>
      <w:tr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Supabase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Accounts, trade history, secure state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$0–300+ (scales with users)</w:t>
            </w:r>
          </w:p>
        </w:tc>
      </w:tr>
      <w:tr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Polygon.io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Unified stock/crypto/forex price feeds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$0–2,400</w:t>
            </w:r>
          </w:p>
        </w:tc>
      </w:tr>
      <w:tr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Daily.co (video, recommended)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Consultation &amp; live trading rooms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$0–3,000+ (free to 10,000 min/mo, then $0.004/min)</w:t>
            </w:r>
          </w:p>
        </w:tc>
      </w:tr>
      <w:tr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Agora (video, alternative)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Same, larger-scale alternative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$0–3,000+ (tiered, from $45.99/mo)</w:t>
            </w:r>
          </w:p>
        </w:tc>
      </w:tr>
      <w:tr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Stripe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Subscriptions and/or €250 deposit processing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No fixed fee — 2.9% + $0.30/charge</w:t>
            </w:r>
          </w:p>
        </w:tc>
      </w:tr>
      <w:tr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20"/>
              </w:rPr>
              <w:t>Broker partner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Holding &amp; moving real client funds (funded tier)</w:t>
            </w:r>
          </w:p>
        </w:tc>
        <w:tc>
          <w:tcPr>
            <w:tcW w:type="dxa" w:w="3120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7FA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20"/>
              </w:rPr>
              <w:t>Custom — quote once volume/jurisdiction known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475569"/>
          <w:sz w:val="18"/>
        </w:rPr>
        <w:t>Estimates as of this session — confirm current vendor pricing before budgeting.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1E9"/>
            <w:tcBorders>
              <w:top w:val="single" w:sz="4" w:space="0" w:color="8FC9A6"/>
              <w:left w:val="single" w:sz="4" w:space="0" w:color="8FC9A6"/>
              <w:bottom w:val="single" w:sz="4" w:space="0" w:color="8FC9A6"/>
              <w:right w:val="single" w:sz="4" w:space="0" w:color="8FC9A6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b/>
                <w:color w:val="1F7A4D"/>
                <w:sz w:val="17"/>
              </w:rPr>
              <w:t>RECOMMENDATION &amp; SOLUTION</w:t>
            </w:r>
          </w:p>
          <w:p>
            <w:pPr>
              <w:spacing w:before="40"/>
            </w:pPr>
            <w:r>
              <w:rPr>
                <w:color w:val="161B2C"/>
                <w:sz w:val="20"/>
              </w:rPr>
              <w:t>Supabase + Polygon.io + Daily.co + Stripe covers accounts, data, video, and billing with zero licensing exposure on their own. The broker partner for the funded tier is the one line item that's a business decision, not a vendor pick — get a quote and legal input on EU/UK coverage before committing.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160"/>
        <w:pBdr>
          <w:bottom w:val="single" w:sz="8" w:space="6" w:color="D9DEE6"/>
        </w:pBdr>
      </w:pPr>
      <w:r>
        <w:rPr>
          <w:rFonts w:ascii="Calibri" w:hAnsi="Calibri"/>
          <w:b/>
          <w:color w:val="161B2C"/>
          <w:sz w:val="34"/>
        </w:rPr>
        <w:t>Updated Stakeholder Discovery Questionnaire</w:t>
      </w:r>
    </w:p>
    <w:p>
      <w:pPr>
        <w:spacing w:after="160"/>
      </w:pPr>
      <w:r>
        <w:rPr>
          <w:b w:val="0"/>
          <w:i w:val="0"/>
          <w:color w:val="222733"/>
          <w:sz w:val="21"/>
        </w:rPr>
        <w:t>Type your answer directly into the shaded box next to each question.</w:t>
      </w:r>
    </w:p>
    <w:p>
      <w:pPr>
        <w:keepNext/>
        <w:spacing w:before="360" w:after="160"/>
      </w:pPr>
      <w:r>
        <w:rPr>
          <w:rFonts w:ascii="Calibri" w:hAnsi="Calibri"/>
          <w:b/>
          <w:color w:val="161B2C"/>
          <w:sz w:val="26"/>
        </w:rPr>
        <w:t>1. Trading Basics &amp; Asset Classes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Guidance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Which asset classes are in scope for the funded tier?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Stocks, crypto, forex — or a mix.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2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Does the €250 minimum apply platform-wide, or only to specific tiers/assets?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3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Is €250 a one-time minimum to open the tier, or also a minimum per top-up?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4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Must practice-tier users graduate through a step before the funded tier?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Or can they join the funded tier directly?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Calibri" w:hAnsi="Calibri"/>
          <w:b/>
          <w:color w:val="161B2C"/>
          <w:sz w:val="26"/>
        </w:rPr>
        <w:t>2. Video &amp; Communication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Guidance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5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One-on-one consultations, group live-trading rooms, or both?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6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Who can host a room — only the admin, or designated staff too?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7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Is scheduling self-serve, or admin-invited only?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8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Should sessions be recorded?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If yes: who can access recordings, and for how long?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Calibri" w:hAnsi="Calibri"/>
          <w:b/>
          <w:color w:val="161B2C"/>
          <w:sz w:val="26"/>
        </w:rPr>
        <w:t>3. Trade Broadcast Notifications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Guidance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9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Notify-only, or automatic replication into follower accounts?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This answer decides whether MiFID licensing is required — a legal decision, not a preference.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10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Which channels — in-app, push, email, SMS, or a mix?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11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Does every trade broadcast, or only ones the admin flags for sharing?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12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Do notifications include rationale/commentary, or just the raw fill?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Calibri" w:hAnsi="Calibri"/>
          <w:b/>
          <w:color w:val="161B2C"/>
          <w:sz w:val="26"/>
        </w:rPr>
        <w:t>4. Look, Branding &amp; Data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Guidance</w:t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6213E"/>
            <w:vAlign w:val="top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Client Response</w:t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13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Confirm final naming: Apex Meridian, Voidpoint Capital, or Lodestar Exchange?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14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Confirm final logo: the anchor, the pulse/sonar orb, or the chart + starburst?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15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EU users are now in scope (the € deposit) — who is the GDPR data controller, and where is data stored?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  <w:tr>
        <w:tc>
          <w:tcPr>
            <w:tcW w:type="dxa" w:w="504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  <w:t>16</w:t>
            </w:r>
          </w:p>
        </w:tc>
        <w:tc>
          <w:tcPr>
            <w:tcW w:type="dxa" w:w="3672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222733"/>
                <w:sz w:val="19"/>
              </w:rPr>
              <w:t>Any jurisdictions beyond the EU/UK planned for the funded tier?</w:t>
            </w:r>
          </w:p>
        </w:tc>
        <w:tc>
          <w:tcPr>
            <w:tcW w:type="dxa" w:w="3096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/>
                <w:color w:val="475569"/>
                <w:sz w:val="17"/>
              </w:rPr>
            </w:r>
          </w:p>
        </w:tc>
        <w:tc>
          <w:tcPr>
            <w:tcW w:type="dxa" w:w="2088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7DE"/>
            <w:vAlign w:val="top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222733"/>
                <w:sz w:val="19"/>
              </w:rPr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8" w:space="6" w:color="D9DEE6"/>
        </w:pBdr>
      </w:pPr>
      <w:r>
        <w:rPr>
          <w:rFonts w:ascii="Calibri" w:hAnsi="Calibri"/>
          <w:b/>
          <w:color w:val="161B2C"/>
          <w:sz w:val="34"/>
        </w:rPr>
        <w:t>Recommended Build Sequence</w:t>
      </w:r>
    </w:p>
    <w:p>
      <w:pPr>
        <w:pStyle w:val="ListBullet"/>
        <w:spacing w:after="80"/>
      </w:pPr>
      <w:r>
        <w:rPr>
          <w:color w:val="222733"/>
          <w:sz w:val="21"/>
        </w:rPr>
        <w:t>1. Accounts &amp; persistence (Supabase) — needed before everything else here.</w:t>
      </w:r>
    </w:p>
    <w:p>
      <w:pPr>
        <w:pStyle w:val="ListBullet"/>
        <w:spacing w:after="80"/>
      </w:pPr>
      <w:r>
        <w:rPr>
          <w:color w:val="222733"/>
          <w:sz w:val="21"/>
        </w:rPr>
        <w:t>2. Real market data (Polygon.io) — replaces the client-side random walk.</w:t>
      </w:r>
    </w:p>
    <w:p>
      <w:pPr>
        <w:pStyle w:val="ListBullet"/>
        <w:spacing w:after="80"/>
      </w:pPr>
      <w:r>
        <w:rPr>
          <w:color w:val="222733"/>
          <w:sz w:val="21"/>
        </w:rPr>
        <w:t>3. Notify-only trade broadcasting — explicitly not auto-replicating trades.</w:t>
      </w:r>
    </w:p>
    <w:p>
      <w:pPr>
        <w:pStyle w:val="ListBullet"/>
        <w:spacing w:after="80"/>
      </w:pPr>
      <w:r>
        <w:rPr>
          <w:color w:val="222733"/>
          <w:sz w:val="21"/>
        </w:rPr>
        <w:t>4. Video consulting (Daily.co) — 1:1 rooms first, group rooms once validated.</w:t>
      </w:r>
    </w:p>
    <w:p>
      <w:pPr>
        <w:pStyle w:val="ListBullet"/>
        <w:spacing w:after="80"/>
      </w:pPr>
      <w:r>
        <w:rPr>
          <w:color w:val="222733"/>
          <w:sz w:val="21"/>
        </w:rPr>
        <w:t>5. Funded tier (€250 minimum) — only after a broker partner with EU/UK coverage is contracted, KYC is implemented, and legal has confirmed Question 9's answer doesn't trigger portfolio-management licensing.</w:t>
      </w:r>
    </w:p>
    <w:p>
      <w:pPr>
        <w:spacing w:after="160"/>
      </w:pPr>
      <w:r>
        <w:rPr>
          <w:b w:val="0"/>
          <w:i/>
          <w:color w:val="475569"/>
          <w:sz w:val="19"/>
        </w:rPr>
        <w:t>Steps 1–4 are engineering-led. Step 5 is legal-led with engineering support — it should not start until Section 3, Question 9 has a confirmed answer.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Meridian — Phase 2 Client Discovery &amp;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2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