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0C447C" w:val="clear"/>
        <w:spacing w:after="40" w:before="120"/>
      </w:pPr>
      <w:r>
        <w:rPr>
          <w:sz w:val="8"/>
          <w:szCs w:val="8"/>
        </w:rPr>
        <w:t xml:space="preserve"> </w:t>
      </w:r>
    </w:p>
    <w:p>
      <w:pPr>
        <w:shd w:fill="0C447C" w:val="clear"/>
        <w:spacing w:after="20" w:before="40"/>
        <w:jc w:val="center"/>
      </w:pPr>
      <w:r>
        <w:rPr>
          <w:rFonts w:ascii="Arial" w:cs="Arial" w:eastAsia="Arial" w:hAnsi="Arial"/>
          <w:b/>
          <w:bCs/>
          <w:caps/>
          <w:color w:val="D6E8F8"/>
          <w:sz w:val="20"/>
          <w:szCs w:val="20"/>
        </w:rPr>
        <w:t xml:space="preserve">FUNDAMENTAL RESEARCH</w:t>
      </w:r>
    </w:p>
    <w:p>
      <w:pPr>
        <w:shd w:fill="0C447C" w:val="clear"/>
        <w:spacing w:after="20" w:before="20"/>
        <w:jc w:val="center"/>
      </w:pPr>
      <w:r>
        <w:rPr>
          <w:rFonts w:ascii="Arial" w:cs="Arial" w:eastAsia="Arial" w:hAnsi="Arial"/>
          <w:b/>
          <w:bCs/>
          <w:color w:val="FFFFFF"/>
          <w:sz w:val="52"/>
          <w:szCs w:val="52"/>
        </w:rPr>
        <w:t xml:space="preserve">Tata Consultancy Services Ltd</w:t>
      </w:r>
    </w:p>
    <w:p>
      <w:pPr>
        <w:shd w:fill="0C447C" w:val="clear"/>
        <w:spacing w:after="10" w:before="10"/>
        <w:jc w:val="center"/>
      </w:pPr>
      <w:r>
        <w:rPr>
          <w:rFonts w:ascii="Arial" w:cs="Arial" w:eastAsia="Arial" w:hAnsi="Arial"/>
          <w:color w:val="D6E8F8"/>
          <w:sz w:val="22"/>
          <w:szCs w:val="22"/>
        </w:rPr>
        <w:t xml:space="preserve">NSE: TCS  |  BSE: 532540  |  IT Services &amp; Consulting</w:t>
      </w:r>
    </w:p>
    <w:p>
      <w:pPr>
        <w:shd w:fill="0C447C" w:val="clear"/>
        <w:spacing w:after="60" w:before="30"/>
        <w:jc w:val="center"/>
      </w:pPr>
      <w:r>
        <w:rPr>
          <w:rFonts w:ascii="Arial" w:cs="Arial" w:eastAsia="Arial" w:hAnsi="Arial"/>
          <w:color w:val="D6E8F8"/>
          <w:sz w:val="20"/>
          <w:szCs w:val="20"/>
        </w:rPr>
        <w:t xml:space="preserve">CMP: ₹2,128  |  As of June 23, 2026  |  52W Range: ₹2,060 – ₹3,490</w:t>
      </w:r>
    </w:p>
    <w:p>
      <w:pPr>
        <w:shd w:fill="0C447C" w:val="clear"/>
        <w:spacing w:after="0" w:before="0"/>
      </w:pPr>
      <w:r>
        <w:rPr>
          <w:sz w:val="8"/>
          <w:szCs w:val="8"/>
        </w:rPr>
        <w:t xml:space="preserve"> </w:t>
      </w:r>
    </w:p>
    <w:p>
      <w:pPr>
        <w:spacing w:after="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1560"/>
        <w:gridCol w:w="2340"/>
        <w:gridCol w:w="1440"/>
        <w:gridCol w:w="1560"/>
        <w:gridCol w:w="2340"/>
      </w:tblGrid>
      <w:tr>
        <w:tc>
          <w:tcPr>
            <w:tcW w:type="dxa" w:w="1440"/>
            <w:tcBorders>
              <w:top w:val="single" w:color="D6E8F8" w:sz="1"/>
              <w:left w:val="single" w:color="D6E8F8" w:sz="1"/>
              <w:bottom w:val="single" w:color="D6E8F8" w:sz="1"/>
              <w:right w:val="single" w:color="D6E8F8" w:sz="1"/>
            </w:tcBorders>
            <w:shd w:fill="D6E8F8" w:val="clear"/>
            <w:tcMar>
              <w:top w:type="dxa" w:w="60"/>
              <w:left w:type="dxa" w:w="80"/>
              <w:bottom w:type="dxa" w:w="60"/>
              <w:right w:type="dxa" w:w="60"/>
            </w:tcMar>
          </w:tcPr>
          <w:p>
            <w:r>
              <w:rPr>
                <w:rFonts w:ascii="Arial" w:cs="Arial" w:eastAsia="Arial" w:hAnsi="Arial"/>
                <w:b/>
                <w:bCs/>
                <w:color w:val="0C447C"/>
                <w:sz w:val="17"/>
                <w:szCs w:val="17"/>
              </w:rPr>
              <w:t xml:space="preserve">Market Cap</w:t>
            </w:r>
          </w:p>
        </w:tc>
        <w:tc>
          <w:tcPr>
            <w:tcW w:type="dxa" w:w="1560"/>
            <w:tcBorders>
              <w:top w:val="single" w:color="D6E8F8" w:sz="1"/>
              <w:left w:val="single" w:color="D6E8F8" w:sz="1"/>
              <w:bottom w:val="single" w:color="D6E8F8" w:sz="1"/>
              <w:right w:val="single" w:color="D6E8F8" w:sz="1"/>
            </w:tcBorders>
            <w:tcMar>
              <w:top w:type="dxa" w:w="60"/>
              <w:left w:type="dxa" w:w="80"/>
              <w:bottom w:type="dxa" w:w="60"/>
              <w:right w:type="dxa" w:w="80"/>
            </w:tcMar>
          </w:tcPr>
          <w:p>
            <w:r>
              <w:rPr>
                <w:rFonts w:ascii="Arial" w:cs="Arial" w:eastAsia="Arial" w:hAnsi="Arial"/>
                <w:b/>
                <w:bCs/>
                <w:color w:val="185FA5"/>
                <w:sz w:val="24"/>
                <w:szCs w:val="24"/>
              </w:rPr>
              <w:t xml:space="preserve">₹7.69L Cr</w:t>
            </w:r>
          </w:p>
        </w:tc>
        <w:tc>
          <w:tcPr>
            <w:tcW w:type="dxa" w:w="2340"/>
            <w:tcBorders>
              <w:top w:val="nil" w:color="FFFFFF" w:sz="0"/>
              <w:left w:val="nil" w:color="FFFFFF" w:sz="0"/>
              <w:bottom w:val="nil" w:color="FFFFFF" w:sz="0"/>
              <w:right w:val="nil" w:color="FFFFFF" w:sz="0"/>
            </w:tcBorders>
            <w:shd w:fill="FFFFFF" w:val="clear"/>
            <w:tcMar>
              <w:top w:type="dxa" w:w="20"/>
              <w:left w:type="dxa" w:w="40"/>
              <w:bottom w:type="dxa" w:w="20"/>
              <w:right w:type="dxa" w:w="40"/>
            </w:tcMar>
          </w:tcPr>
          <w:p>
            <w:r>
              <w:rPr>
                <w:rFonts w:ascii="Arial" w:cs="Arial" w:eastAsia="Arial" w:hAnsi="Arial"/>
                <w:color w:val="5F5E5A"/>
                <w:sz w:val="15"/>
                <w:szCs w:val="15"/>
              </w:rPr>
              <w:t xml:space="preserve">Large Cap</w:t>
            </w:r>
          </w:p>
        </w:tc>
        <w:tc>
          <w:tcPr>
            <w:tcW w:type="dxa" w:w="1440"/>
            <w:tcBorders>
              <w:top w:val="single" w:color="D6E8F8" w:sz="1"/>
              <w:left w:val="single" w:color="D6E8F8" w:sz="1"/>
              <w:bottom w:val="single" w:color="D6E8F8" w:sz="1"/>
              <w:right w:val="single" w:color="D6E8F8" w:sz="1"/>
            </w:tcBorders>
            <w:shd w:fill="D6E8F8" w:val="clear"/>
            <w:tcMar>
              <w:top w:type="dxa" w:w="60"/>
              <w:left w:type="dxa" w:w="80"/>
              <w:bottom w:type="dxa" w:w="60"/>
              <w:right w:type="dxa" w:w="60"/>
            </w:tcMar>
          </w:tcPr>
          <w:p>
            <w:r>
              <w:rPr>
                <w:rFonts w:ascii="Arial" w:cs="Arial" w:eastAsia="Arial" w:hAnsi="Arial"/>
                <w:b/>
                <w:bCs/>
                <w:color w:val="0C447C"/>
                <w:sz w:val="17"/>
                <w:szCs w:val="17"/>
              </w:rPr>
              <w:t xml:space="preserve">Revenue FY26</w:t>
            </w:r>
          </w:p>
        </w:tc>
        <w:tc>
          <w:tcPr>
            <w:tcW w:type="dxa" w:w="1560"/>
            <w:tcBorders>
              <w:top w:val="single" w:color="D6E8F8" w:sz="1"/>
              <w:left w:val="single" w:color="D6E8F8" w:sz="1"/>
              <w:bottom w:val="single" w:color="D6E8F8" w:sz="1"/>
              <w:right w:val="single" w:color="D6E8F8" w:sz="1"/>
            </w:tcBorders>
            <w:tcMar>
              <w:top w:type="dxa" w:w="60"/>
              <w:left w:type="dxa" w:w="80"/>
              <w:bottom w:type="dxa" w:w="60"/>
              <w:right w:type="dxa" w:w="80"/>
            </w:tcMar>
          </w:tcPr>
          <w:p>
            <w:r>
              <w:rPr>
                <w:rFonts w:ascii="Arial" w:cs="Arial" w:eastAsia="Arial" w:hAnsi="Arial"/>
                <w:b/>
                <w:bCs/>
                <w:color w:val="185FA5"/>
                <w:sz w:val="24"/>
                <w:szCs w:val="24"/>
              </w:rPr>
              <w:t xml:space="preserve">₹2.67L Cr</w:t>
            </w:r>
          </w:p>
        </w:tc>
        <w:tc>
          <w:tcPr>
            <w:tcW w:type="dxa" w:w="2340"/>
            <w:tcBorders>
              <w:top w:val="nil" w:color="FFFFFF" w:sz="0"/>
              <w:left w:val="nil" w:color="FFFFFF" w:sz="0"/>
              <w:bottom w:val="nil" w:color="FFFFFF" w:sz="0"/>
              <w:right w:val="nil" w:color="FFFFFF" w:sz="0"/>
            </w:tcBorders>
            <w:shd w:fill="FFFFFF" w:val="clear"/>
            <w:tcMar>
              <w:top w:type="dxa" w:w="20"/>
              <w:left w:type="dxa" w:w="40"/>
              <w:bottom w:type="dxa" w:w="20"/>
              <w:right w:type="dxa" w:w="40"/>
            </w:tcMar>
          </w:tcPr>
          <w:p>
            <w:r>
              <w:rPr>
                <w:rFonts w:ascii="Arial" w:cs="Arial" w:eastAsia="Arial" w:hAnsi="Arial"/>
                <w:color w:val="5F5E5A"/>
                <w:sz w:val="15"/>
                <w:szCs w:val="15"/>
              </w:rPr>
              <w:t xml:space="preserve">+4.6% YoY (INR)</w:t>
            </w:r>
          </w:p>
        </w:tc>
      </w:tr>
      <w:tr>
        <w:tc>
          <w:tcPr>
            <w:tcW w:type="dxa" w:w="1440"/>
            <w:tcBorders>
              <w:top w:val="single" w:color="D6E8F8" w:sz="1"/>
              <w:left w:val="single" w:color="D6E8F8" w:sz="1"/>
              <w:bottom w:val="single" w:color="D6E8F8" w:sz="1"/>
              <w:right w:val="single" w:color="D6E8F8" w:sz="1"/>
            </w:tcBorders>
            <w:shd w:fill="D6E8F8" w:val="clear"/>
            <w:tcMar>
              <w:top w:type="dxa" w:w="60"/>
              <w:left w:type="dxa" w:w="80"/>
              <w:bottom w:type="dxa" w:w="60"/>
              <w:right w:type="dxa" w:w="60"/>
            </w:tcMar>
          </w:tcPr>
          <w:p>
            <w:r>
              <w:rPr>
                <w:rFonts w:ascii="Arial" w:cs="Arial" w:eastAsia="Arial" w:hAnsi="Arial"/>
                <w:b/>
                <w:bCs/>
                <w:color w:val="0C447C"/>
                <w:sz w:val="17"/>
                <w:szCs w:val="17"/>
              </w:rPr>
              <w:t xml:space="preserve">P/E Ratio</w:t>
            </w:r>
          </w:p>
        </w:tc>
        <w:tc>
          <w:tcPr>
            <w:tcW w:type="dxa" w:w="1560"/>
            <w:tcBorders>
              <w:top w:val="single" w:color="D6E8F8" w:sz="1"/>
              <w:left w:val="single" w:color="D6E8F8" w:sz="1"/>
              <w:bottom w:val="single" w:color="D6E8F8" w:sz="1"/>
              <w:right w:val="single" w:color="D6E8F8" w:sz="1"/>
            </w:tcBorders>
            <w:tcMar>
              <w:top w:type="dxa" w:w="60"/>
              <w:left w:type="dxa" w:w="80"/>
              <w:bottom w:type="dxa" w:w="60"/>
              <w:right w:type="dxa" w:w="80"/>
            </w:tcMar>
          </w:tcPr>
          <w:p>
            <w:r>
              <w:rPr>
                <w:rFonts w:ascii="Arial" w:cs="Arial" w:eastAsia="Arial" w:hAnsi="Arial"/>
                <w:b/>
                <w:bCs/>
                <w:color w:val="185FA5"/>
                <w:sz w:val="24"/>
                <w:szCs w:val="24"/>
              </w:rPr>
              <w:t xml:space="preserve">15.6x</w:t>
            </w:r>
          </w:p>
        </w:tc>
        <w:tc>
          <w:tcPr>
            <w:tcW w:type="dxa" w:w="2340"/>
            <w:tcBorders>
              <w:top w:val="nil" w:color="FFFFFF" w:sz="0"/>
              <w:left w:val="nil" w:color="FFFFFF" w:sz="0"/>
              <w:bottom w:val="nil" w:color="FFFFFF" w:sz="0"/>
              <w:right w:val="nil" w:color="FFFFFF" w:sz="0"/>
            </w:tcBorders>
            <w:shd w:fill="FFFFFF" w:val="clear"/>
            <w:tcMar>
              <w:top w:type="dxa" w:w="20"/>
              <w:left w:type="dxa" w:w="40"/>
              <w:bottom w:type="dxa" w:w="20"/>
              <w:right w:type="dxa" w:w="40"/>
            </w:tcMar>
          </w:tcPr>
          <w:p>
            <w:r>
              <w:rPr>
                <w:rFonts w:ascii="Arial" w:cs="Arial" w:eastAsia="Arial" w:hAnsi="Arial"/>
                <w:color w:val="5F5E5A"/>
                <w:sz w:val="15"/>
                <w:szCs w:val="15"/>
              </w:rPr>
              <w:t xml:space="preserve">5Y avg ~27x</w:t>
            </w:r>
          </w:p>
        </w:tc>
        <w:tc>
          <w:tcPr>
            <w:tcW w:type="dxa" w:w="1440"/>
            <w:tcBorders>
              <w:top w:val="single" w:color="D6E8F8" w:sz="1"/>
              <w:left w:val="single" w:color="D6E8F8" w:sz="1"/>
              <w:bottom w:val="single" w:color="D6E8F8" w:sz="1"/>
              <w:right w:val="single" w:color="D6E8F8" w:sz="1"/>
            </w:tcBorders>
            <w:shd w:fill="D6E8F8" w:val="clear"/>
            <w:tcMar>
              <w:top w:type="dxa" w:w="60"/>
              <w:left w:type="dxa" w:w="80"/>
              <w:bottom w:type="dxa" w:w="60"/>
              <w:right w:type="dxa" w:w="60"/>
            </w:tcMar>
          </w:tcPr>
          <w:p>
            <w:r>
              <w:rPr>
                <w:rFonts w:ascii="Arial" w:cs="Arial" w:eastAsia="Arial" w:hAnsi="Arial"/>
                <w:b/>
                <w:bCs/>
                <w:color w:val="0C447C"/>
                <w:sz w:val="17"/>
                <w:szCs w:val="17"/>
              </w:rPr>
              <w:t xml:space="preserve">ROE FY26</w:t>
            </w:r>
          </w:p>
        </w:tc>
        <w:tc>
          <w:tcPr>
            <w:tcW w:type="dxa" w:w="1560"/>
            <w:tcBorders>
              <w:top w:val="single" w:color="D6E8F8" w:sz="1"/>
              <w:left w:val="single" w:color="D6E8F8" w:sz="1"/>
              <w:bottom w:val="single" w:color="D6E8F8" w:sz="1"/>
              <w:right w:val="single" w:color="D6E8F8" w:sz="1"/>
            </w:tcBorders>
            <w:tcMar>
              <w:top w:type="dxa" w:w="60"/>
              <w:left w:type="dxa" w:w="80"/>
              <w:bottom w:type="dxa" w:w="60"/>
              <w:right w:type="dxa" w:w="80"/>
            </w:tcMar>
          </w:tcPr>
          <w:p>
            <w:r>
              <w:rPr>
                <w:rFonts w:ascii="Arial" w:cs="Arial" w:eastAsia="Arial" w:hAnsi="Arial"/>
                <w:b/>
                <w:bCs/>
                <w:color w:val="185FA5"/>
                <w:sz w:val="24"/>
                <w:szCs w:val="24"/>
              </w:rPr>
              <w:t xml:space="preserve">51.8%</w:t>
            </w:r>
          </w:p>
        </w:tc>
        <w:tc>
          <w:tcPr>
            <w:tcW w:type="dxa" w:w="2340"/>
            <w:tcBorders>
              <w:top w:val="nil" w:color="FFFFFF" w:sz="0"/>
              <w:left w:val="nil" w:color="FFFFFF" w:sz="0"/>
              <w:bottom w:val="nil" w:color="FFFFFF" w:sz="0"/>
              <w:right w:val="nil" w:color="FFFFFF" w:sz="0"/>
            </w:tcBorders>
            <w:shd w:fill="FFFFFF" w:val="clear"/>
            <w:tcMar>
              <w:top w:type="dxa" w:w="20"/>
              <w:left w:type="dxa" w:w="40"/>
              <w:bottom w:type="dxa" w:w="20"/>
              <w:right w:type="dxa" w:w="40"/>
            </w:tcMar>
          </w:tcPr>
          <w:p>
            <w:r>
              <w:rPr>
                <w:rFonts w:ascii="Arial" w:cs="Arial" w:eastAsia="Arial" w:hAnsi="Arial"/>
                <w:b/>
                <w:bCs/>
                <w:color w:val="3B6D11"/>
                <w:sz w:val="15"/>
                <w:szCs w:val="15"/>
              </w:rPr>
              <w:t xml:space="preserve">3Y avg 51.9%</w:t>
            </w:r>
          </w:p>
        </w:tc>
      </w:tr>
      <w:tr>
        <w:tc>
          <w:tcPr>
            <w:tcW w:type="dxa" w:w="1440"/>
            <w:tcBorders>
              <w:top w:val="single" w:color="D6E8F8" w:sz="1"/>
              <w:left w:val="single" w:color="D6E8F8" w:sz="1"/>
              <w:bottom w:val="single" w:color="D6E8F8" w:sz="1"/>
              <w:right w:val="single" w:color="D6E8F8" w:sz="1"/>
            </w:tcBorders>
            <w:shd w:fill="D6E8F8" w:val="clear"/>
            <w:tcMar>
              <w:top w:type="dxa" w:w="60"/>
              <w:left w:type="dxa" w:w="80"/>
              <w:bottom w:type="dxa" w:w="60"/>
              <w:right w:type="dxa" w:w="60"/>
            </w:tcMar>
          </w:tcPr>
          <w:p>
            <w:r>
              <w:rPr>
                <w:rFonts w:ascii="Arial" w:cs="Arial" w:eastAsia="Arial" w:hAnsi="Arial"/>
                <w:b/>
                <w:bCs/>
                <w:color w:val="0C447C"/>
                <w:sz w:val="17"/>
                <w:szCs w:val="17"/>
              </w:rPr>
              <w:t xml:space="preserve">ROCE FY26</w:t>
            </w:r>
          </w:p>
        </w:tc>
        <w:tc>
          <w:tcPr>
            <w:tcW w:type="dxa" w:w="1560"/>
            <w:tcBorders>
              <w:top w:val="single" w:color="D6E8F8" w:sz="1"/>
              <w:left w:val="single" w:color="D6E8F8" w:sz="1"/>
              <w:bottom w:val="single" w:color="D6E8F8" w:sz="1"/>
              <w:right w:val="single" w:color="D6E8F8" w:sz="1"/>
            </w:tcBorders>
            <w:tcMar>
              <w:top w:type="dxa" w:w="60"/>
              <w:left w:type="dxa" w:w="80"/>
              <w:bottom w:type="dxa" w:w="60"/>
              <w:right w:type="dxa" w:w="80"/>
            </w:tcMar>
          </w:tcPr>
          <w:p>
            <w:r>
              <w:rPr>
                <w:rFonts w:ascii="Arial" w:cs="Arial" w:eastAsia="Arial" w:hAnsi="Arial"/>
                <w:b/>
                <w:bCs/>
                <w:color w:val="185FA5"/>
                <w:sz w:val="24"/>
                <w:szCs w:val="24"/>
              </w:rPr>
              <w:t xml:space="preserve">63.0%</w:t>
            </w:r>
          </w:p>
        </w:tc>
        <w:tc>
          <w:tcPr>
            <w:tcW w:type="dxa" w:w="2340"/>
            <w:tcBorders>
              <w:top w:val="nil" w:color="FFFFFF" w:sz="0"/>
              <w:left w:val="nil" w:color="FFFFFF" w:sz="0"/>
              <w:bottom w:val="nil" w:color="FFFFFF" w:sz="0"/>
              <w:right w:val="nil" w:color="FFFFFF" w:sz="0"/>
            </w:tcBorders>
            <w:shd w:fill="FFFFFF" w:val="clear"/>
            <w:tcMar>
              <w:top w:type="dxa" w:w="20"/>
              <w:left w:type="dxa" w:w="40"/>
              <w:bottom w:type="dxa" w:w="20"/>
              <w:right w:type="dxa" w:w="40"/>
            </w:tcMar>
          </w:tcPr>
          <w:p>
            <w:r>
              <w:rPr>
                <w:rFonts w:ascii="Arial" w:cs="Arial" w:eastAsia="Arial" w:hAnsi="Arial"/>
                <w:b/>
                <w:bCs/>
                <w:color w:val="3B6D11"/>
                <w:sz w:val="15"/>
                <w:szCs w:val="15"/>
              </w:rPr>
              <w:t xml:space="preserve">Strong</w:t>
            </w:r>
          </w:p>
        </w:tc>
        <w:tc>
          <w:tcPr>
            <w:tcW w:type="dxa" w:w="1440"/>
            <w:tcBorders>
              <w:top w:val="single" w:color="D6E8F8" w:sz="1"/>
              <w:left w:val="single" w:color="D6E8F8" w:sz="1"/>
              <w:bottom w:val="single" w:color="D6E8F8" w:sz="1"/>
              <w:right w:val="single" w:color="D6E8F8" w:sz="1"/>
            </w:tcBorders>
            <w:shd w:fill="D6E8F8" w:val="clear"/>
            <w:tcMar>
              <w:top w:type="dxa" w:w="60"/>
              <w:left w:type="dxa" w:w="80"/>
              <w:bottom w:type="dxa" w:w="60"/>
              <w:right w:type="dxa" w:w="60"/>
            </w:tcMar>
          </w:tcPr>
          <w:p>
            <w:r>
              <w:rPr>
                <w:rFonts w:ascii="Arial" w:cs="Arial" w:eastAsia="Arial" w:hAnsi="Arial"/>
                <w:b/>
                <w:bCs/>
                <w:color w:val="0C447C"/>
                <w:sz w:val="17"/>
                <w:szCs w:val="17"/>
              </w:rPr>
              <w:t xml:space="preserve">Div Yield</w:t>
            </w:r>
          </w:p>
        </w:tc>
        <w:tc>
          <w:tcPr>
            <w:tcW w:type="dxa" w:w="1560"/>
            <w:tcBorders>
              <w:top w:val="single" w:color="D6E8F8" w:sz="1"/>
              <w:left w:val="single" w:color="D6E8F8" w:sz="1"/>
              <w:bottom w:val="single" w:color="D6E8F8" w:sz="1"/>
              <w:right w:val="single" w:color="D6E8F8" w:sz="1"/>
            </w:tcBorders>
            <w:tcMar>
              <w:top w:type="dxa" w:w="60"/>
              <w:left w:type="dxa" w:w="80"/>
              <w:bottom w:type="dxa" w:w="60"/>
              <w:right w:type="dxa" w:w="80"/>
            </w:tcMar>
          </w:tcPr>
          <w:p>
            <w:r>
              <w:rPr>
                <w:rFonts w:ascii="Arial" w:cs="Arial" w:eastAsia="Arial" w:hAnsi="Arial"/>
                <w:b/>
                <w:bCs/>
                <w:color w:val="185FA5"/>
                <w:sz w:val="24"/>
                <w:szCs w:val="24"/>
              </w:rPr>
              <w:t xml:space="preserve">5.2%</w:t>
            </w:r>
          </w:p>
        </w:tc>
        <w:tc>
          <w:tcPr>
            <w:tcW w:type="dxa" w:w="2340"/>
            <w:tcBorders>
              <w:top w:val="nil" w:color="FFFFFF" w:sz="0"/>
              <w:left w:val="nil" w:color="FFFFFF" w:sz="0"/>
              <w:bottom w:val="nil" w:color="FFFFFF" w:sz="0"/>
              <w:right w:val="nil" w:color="FFFFFF" w:sz="0"/>
            </w:tcBorders>
            <w:shd w:fill="FFFFFF" w:val="clear"/>
            <w:tcMar>
              <w:top w:type="dxa" w:w="20"/>
              <w:left w:type="dxa" w:w="40"/>
              <w:bottom w:type="dxa" w:w="20"/>
              <w:right w:type="dxa" w:w="40"/>
            </w:tcMar>
          </w:tcPr>
          <w:p>
            <w:r>
              <w:rPr>
                <w:rFonts w:ascii="Arial" w:cs="Arial" w:eastAsia="Arial" w:hAnsi="Arial"/>
                <w:b/>
                <w:bCs/>
                <w:color w:val="3B6D11"/>
                <w:sz w:val="15"/>
                <w:szCs w:val="15"/>
              </w:rPr>
              <w:t xml:space="preserve">₹110/share FY26</w:t>
            </w:r>
          </w:p>
        </w:tc>
      </w:tr>
      <w:tr>
        <w:tc>
          <w:tcPr>
            <w:tcW w:type="dxa" w:w="1440"/>
            <w:tcBorders>
              <w:top w:val="single" w:color="D6E8F8" w:sz="1"/>
              <w:left w:val="single" w:color="D6E8F8" w:sz="1"/>
              <w:bottom w:val="single" w:color="D6E8F8" w:sz="1"/>
              <w:right w:val="single" w:color="D6E8F8" w:sz="1"/>
            </w:tcBorders>
            <w:shd w:fill="D6E8F8" w:val="clear"/>
            <w:tcMar>
              <w:top w:type="dxa" w:w="60"/>
              <w:left w:type="dxa" w:w="80"/>
              <w:bottom w:type="dxa" w:w="60"/>
              <w:right w:type="dxa" w:w="60"/>
            </w:tcMar>
          </w:tcPr>
          <w:p>
            <w:r>
              <w:rPr>
                <w:rFonts w:ascii="Arial" w:cs="Arial" w:eastAsia="Arial" w:hAnsi="Arial"/>
                <w:b/>
                <w:bCs/>
                <w:color w:val="0C447C"/>
                <w:sz w:val="17"/>
                <w:szCs w:val="17"/>
              </w:rPr>
              <w:t xml:space="preserve">Net Profit</w:t>
            </w:r>
          </w:p>
        </w:tc>
        <w:tc>
          <w:tcPr>
            <w:tcW w:type="dxa" w:w="1560"/>
            <w:tcBorders>
              <w:top w:val="single" w:color="D6E8F8" w:sz="1"/>
              <w:left w:val="single" w:color="D6E8F8" w:sz="1"/>
              <w:bottom w:val="single" w:color="D6E8F8" w:sz="1"/>
              <w:right w:val="single" w:color="D6E8F8" w:sz="1"/>
            </w:tcBorders>
            <w:tcMar>
              <w:top w:type="dxa" w:w="60"/>
              <w:left w:type="dxa" w:w="80"/>
              <w:bottom w:type="dxa" w:w="60"/>
              <w:right w:type="dxa" w:w="80"/>
            </w:tcMar>
          </w:tcPr>
          <w:p>
            <w:r>
              <w:rPr>
                <w:rFonts w:ascii="Arial" w:cs="Arial" w:eastAsia="Arial" w:hAnsi="Arial"/>
                <w:b/>
                <w:bCs/>
                <w:color w:val="185FA5"/>
                <w:sz w:val="24"/>
                <w:szCs w:val="24"/>
              </w:rPr>
              <w:t xml:space="preserve">₹49,454 Cr</w:t>
            </w:r>
          </w:p>
        </w:tc>
        <w:tc>
          <w:tcPr>
            <w:tcW w:type="dxa" w:w="2340"/>
            <w:tcBorders>
              <w:top w:val="nil" w:color="FFFFFF" w:sz="0"/>
              <w:left w:val="nil" w:color="FFFFFF" w:sz="0"/>
              <w:bottom w:val="nil" w:color="FFFFFF" w:sz="0"/>
              <w:right w:val="nil" w:color="FFFFFF" w:sz="0"/>
            </w:tcBorders>
            <w:shd w:fill="FFFFFF" w:val="clear"/>
            <w:tcMar>
              <w:top w:type="dxa" w:w="20"/>
              <w:left w:type="dxa" w:w="40"/>
              <w:bottom w:type="dxa" w:w="20"/>
              <w:right w:type="dxa" w:w="40"/>
            </w:tcMar>
          </w:tcPr>
          <w:p>
            <w:r>
              <w:rPr>
                <w:rFonts w:ascii="Arial" w:cs="Arial" w:eastAsia="Arial" w:hAnsi="Arial"/>
                <w:color w:val="5F5E5A"/>
                <w:sz w:val="15"/>
                <w:szCs w:val="15"/>
              </w:rPr>
              <w:t xml:space="preserve">+1.3% YoY</w:t>
            </w:r>
          </w:p>
        </w:tc>
        <w:tc>
          <w:tcPr>
            <w:tcW w:type="dxa" w:w="1440"/>
            <w:tcBorders>
              <w:top w:val="single" w:color="D6E8F8" w:sz="1"/>
              <w:left w:val="single" w:color="D6E8F8" w:sz="1"/>
              <w:bottom w:val="single" w:color="D6E8F8" w:sz="1"/>
              <w:right w:val="single" w:color="D6E8F8" w:sz="1"/>
            </w:tcBorders>
            <w:shd w:fill="D6E8F8" w:val="clear"/>
            <w:tcMar>
              <w:top w:type="dxa" w:w="60"/>
              <w:left w:type="dxa" w:w="80"/>
              <w:bottom w:type="dxa" w:w="60"/>
              <w:right w:type="dxa" w:w="60"/>
            </w:tcMar>
          </w:tcPr>
          <w:p>
            <w:r>
              <w:rPr>
                <w:rFonts w:ascii="Arial" w:cs="Arial" w:eastAsia="Arial" w:hAnsi="Arial"/>
                <w:b/>
                <w:bCs/>
                <w:color w:val="0C447C"/>
                <w:sz w:val="17"/>
                <w:szCs w:val="17"/>
              </w:rPr>
              <w:t xml:space="preserve">FCF FY26</w:t>
            </w:r>
          </w:p>
        </w:tc>
        <w:tc>
          <w:tcPr>
            <w:tcW w:type="dxa" w:w="1560"/>
            <w:tcBorders>
              <w:top w:val="single" w:color="D6E8F8" w:sz="1"/>
              <w:left w:val="single" w:color="D6E8F8" w:sz="1"/>
              <w:bottom w:val="single" w:color="D6E8F8" w:sz="1"/>
              <w:right w:val="single" w:color="D6E8F8" w:sz="1"/>
            </w:tcBorders>
            <w:tcMar>
              <w:top w:type="dxa" w:w="60"/>
              <w:left w:type="dxa" w:w="80"/>
              <w:bottom w:type="dxa" w:w="60"/>
              <w:right w:type="dxa" w:w="80"/>
            </w:tcMar>
          </w:tcPr>
          <w:p>
            <w:r>
              <w:rPr>
                <w:rFonts w:ascii="Arial" w:cs="Arial" w:eastAsia="Arial" w:hAnsi="Arial"/>
                <w:b/>
                <w:bCs/>
                <w:color w:val="185FA5"/>
                <w:sz w:val="24"/>
                <w:szCs w:val="24"/>
              </w:rPr>
              <w:t xml:space="preserve">₹48,013 Cr</w:t>
            </w:r>
          </w:p>
        </w:tc>
        <w:tc>
          <w:tcPr>
            <w:tcW w:type="dxa" w:w="2340"/>
            <w:tcBorders>
              <w:top w:val="nil" w:color="FFFFFF" w:sz="0"/>
              <w:left w:val="nil" w:color="FFFFFF" w:sz="0"/>
              <w:bottom w:val="nil" w:color="FFFFFF" w:sz="0"/>
              <w:right w:val="nil" w:color="FFFFFF" w:sz="0"/>
            </w:tcBorders>
            <w:shd w:fill="FFFFFF" w:val="clear"/>
            <w:tcMar>
              <w:top w:type="dxa" w:w="20"/>
              <w:left w:type="dxa" w:w="40"/>
              <w:bottom w:type="dxa" w:w="20"/>
              <w:right w:type="dxa" w:w="40"/>
            </w:tcMar>
          </w:tcPr>
          <w:p>
            <w:r>
              <w:rPr>
                <w:rFonts w:ascii="Arial" w:cs="Arial" w:eastAsia="Arial" w:hAnsi="Arial"/>
                <w:b/>
                <w:bCs/>
                <w:color w:val="3B6D11"/>
                <w:sz w:val="15"/>
                <w:szCs w:val="15"/>
              </w:rPr>
              <w:t xml:space="preserve">+6.7% YoY</w:t>
            </w:r>
          </w:p>
        </w:tc>
      </w:tr>
    </w:tbl>
    <w:p>
      <w:pPr>
        <w:spacing w:after="0" w:before="160"/>
      </w:pPr>
    </w:p>
    <w:p>
      <w:pPr>
        <w:pBdr>
          <w:left w:val="single" w:color="185FA5" w:sz="18" w:space="8"/>
        </w:pBdr>
        <w:shd w:fill="EEF5FC" w:val="clear"/>
        <w:spacing w:after="120" w:before="280"/>
        <w:ind w:left="120"/>
      </w:pPr>
      <w:r>
        <w:rPr>
          <w:rFonts w:ascii="Arial" w:cs="Arial" w:eastAsia="Arial" w:hAnsi="Arial"/>
          <w:b/>
          <w:bCs/>
          <w:color w:val="0C447C"/>
          <w:sz w:val="26"/>
          <w:szCs w:val="26"/>
        </w:rPr>
        <w:t xml:space="preserve">1. Company Overview</w:t>
      </w:r>
    </w:p>
    <w:p>
      <w:pPr>
        <w:spacing w:after="60" w:before="60"/>
      </w:pPr>
      <w:r>
        <w:rPr>
          <w:rFonts w:ascii="Arial" w:cs="Arial" w:eastAsia="Arial" w:hAnsi="Arial"/>
          <w:color w:val="1A1A1A"/>
          <w:sz w:val="20"/>
          <w:szCs w:val="20"/>
        </w:rPr>
        <w:t xml:space="preserve">Tata Consultancy Services (TCS) is India's largest IT company and the crown jewel of the Tata Group. It provides IT services, consulting, and business solutions to enterprises across 150+ countries and 50+ industries. Founded in 1968, TCS today employs ~600,000 people globally.</w:t>
      </w:r>
    </w:p>
    <w:p>
      <w:pPr>
        <w:spacing w:after="60" w:before="60"/>
      </w:pPr>
      <w:r>
        <w:rPr>
          <w:rFonts w:ascii="Arial" w:cs="Arial" w:eastAsia="Arial" w:hAnsi="Arial"/>
          <w:color w:val="1A1A1A"/>
          <w:sz w:val="20"/>
          <w:szCs w:val="20"/>
        </w:rPr>
        <w:t xml:space="preserve">Revenue is primarily denominated in USD and GBP (~85% of revenue ex-India), making it significantly sensitive to INR appreciation cycles.</w:t>
      </w:r>
    </w:p>
    <w:p>
      <w:pPr>
        <w:spacing w:after="0" w:before="80"/>
      </w:pPr>
    </w:p>
    <w:p>
      <w:pPr>
        <w:spacing w:after="80" w:before="200"/>
      </w:pPr>
      <w:r>
        <w:rPr>
          <w:rFonts w:ascii="Arial" w:cs="Arial" w:eastAsia="Arial" w:hAnsi="Arial"/>
          <w:b/>
          <w:bCs/>
          <w:color w:val="185FA5"/>
          <w:sz w:val="22"/>
          <w:szCs w:val="22"/>
        </w:rPr>
        <w:t xml:space="preserve">Revenue Mix by Vertical (Q3 FY26)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0C447C" w:val="clear"/>
            <w:tcMar>
              <w:top w:type="dxa" w:w="60"/>
              <w:left w:type="dxa" w:w="120"/>
              <w:bottom w:type="dxa" w:w="60"/>
              <w:right w:type="dxa" w:w="120"/>
            </w:tcMar>
          </w:tcPr>
          <w:p>
            <w:r>
              <w:rPr>
                <w:rFonts w:ascii="Arial" w:cs="Arial" w:eastAsia="Arial" w:hAnsi="Arial"/>
                <w:b/>
                <w:bCs/>
                <w:color w:val="FFFFFF"/>
                <w:sz w:val="19"/>
                <w:szCs w:val="19"/>
              </w:rPr>
              <w:t xml:space="preserve">Vertical</w:t>
            </w:r>
          </w:p>
        </w:tc>
        <w:tc>
          <w:tcPr>
            <w:tcW w:type="dxa" w:w="4680"/>
            <w:tcBorders>
              <w:top w:val="single" w:color="CCCCCC" w:sz="1"/>
              <w:left w:val="single" w:color="CCCCCC" w:sz="1"/>
              <w:bottom w:val="single" w:color="CCCCCC" w:sz="1"/>
              <w:right w:val="single" w:color="CCCCCC" w:sz="1"/>
            </w:tcBorders>
            <w:shd w:fill="0C447C" w:val="clear"/>
            <w:tcMar>
              <w:top w:type="dxa" w:w="60"/>
              <w:left w:type="dxa" w:w="120"/>
              <w:bottom w:type="dxa" w:w="60"/>
              <w:right w:type="dxa" w:w="120"/>
            </w:tcMar>
          </w:tcPr>
          <w:p>
            <w:pPr>
              <w:jc w:val="center"/>
            </w:pPr>
            <w:r>
              <w:rPr>
                <w:rFonts w:ascii="Arial" w:cs="Arial" w:eastAsia="Arial" w:hAnsi="Arial"/>
                <w:b/>
                <w:bCs/>
                <w:color w:val="FFFFFF"/>
                <w:sz w:val="19"/>
                <w:szCs w:val="19"/>
              </w:rPr>
              <w:t xml:space="preserve">Revenue Share</w:t>
            </w:r>
          </w:p>
        </w:tc>
      </w:tr>
      <w:tr>
        <w:tc>
          <w:tcPr>
            <w:tcW w:type="dxa" w:w="4680"/>
            <w:tcBorders>
              <w:top w:val="single" w:color="CCCCCC" w:sz="1"/>
              <w:left w:val="single" w:color="CCCCCC" w:sz="1"/>
              <w:bottom w:val="single" w:color="CCCCCC" w:sz="1"/>
              <w:right w:val="single" w:color="CCCCCC" w:sz="1"/>
            </w:tcBorders>
            <w:shd w:fill="FFFFFF" w:val="clear"/>
            <w:tcMar>
              <w:top w:type="dxa" w:w="50"/>
              <w:left w:type="dxa" w:w="120"/>
              <w:bottom w:type="dxa" w:w="50"/>
              <w:right w:type="dxa" w:w="120"/>
            </w:tcMar>
          </w:tcPr>
          <w:p>
            <w:r>
              <w:rPr>
                <w:rFonts w:ascii="Arial" w:cs="Arial" w:eastAsia="Arial" w:hAnsi="Arial"/>
                <w:color w:val="1A1A1A"/>
                <w:sz w:val="19"/>
                <w:szCs w:val="19"/>
              </w:rPr>
              <w:t xml:space="preserve">BFSI (Banking, Financial Services &amp; Insurance)</w:t>
            </w:r>
          </w:p>
        </w:tc>
        <w:tc>
          <w:tcPr>
            <w:tcW w:type="dxa" w:w="4680"/>
            <w:tcBorders>
              <w:top w:val="single" w:color="CCCCCC" w:sz="1"/>
              <w:left w:val="single" w:color="CCCCCC" w:sz="1"/>
              <w:bottom w:val="single" w:color="CCCCCC" w:sz="1"/>
              <w:right w:val="single" w:color="CCCCCC" w:sz="1"/>
            </w:tcBorders>
            <w:shd w:fill="FFFFFF" w:val="clear"/>
            <w:tcMar>
              <w:top w:type="dxa" w:w="50"/>
              <w:left w:type="dxa" w:w="120"/>
              <w:bottom w:type="dxa" w:w="50"/>
              <w:right w:type="dxa" w:w="120"/>
            </w:tcMar>
          </w:tcPr>
          <w:p>
            <w:pPr>
              <w:jc w:val="center"/>
            </w:pPr>
            <w:r>
              <w:rPr>
                <w:rFonts w:ascii="Arial" w:cs="Arial" w:eastAsia="Arial" w:hAnsi="Arial"/>
                <w:b/>
                <w:bCs/>
                <w:color w:val="0C447C"/>
                <w:sz w:val="19"/>
                <w:szCs w:val="19"/>
              </w:rPr>
              <w:t xml:space="preserve">31.9%</w:t>
            </w:r>
          </w:p>
        </w:tc>
      </w:tr>
      <w:tr>
        <w:tc>
          <w:tcPr>
            <w:tcW w:type="dxa" w:w="4680"/>
            <w:tcBorders>
              <w:top w:val="single" w:color="CCCCCC" w:sz="1"/>
              <w:left w:val="single" w:color="CCCCCC" w:sz="1"/>
              <w:bottom w:val="single" w:color="CCCCCC" w:sz="1"/>
              <w:right w:val="single" w:color="CCCCCC" w:sz="1"/>
            </w:tcBorders>
            <w:shd w:fill="F4F3EF" w:val="clear"/>
            <w:tcMar>
              <w:top w:type="dxa" w:w="50"/>
              <w:left w:type="dxa" w:w="120"/>
              <w:bottom w:type="dxa" w:w="50"/>
              <w:right w:type="dxa" w:w="120"/>
            </w:tcMar>
          </w:tcPr>
          <w:p>
            <w:r>
              <w:rPr>
                <w:rFonts w:ascii="Arial" w:cs="Arial" w:eastAsia="Arial" w:hAnsi="Arial"/>
                <w:color w:val="1A1A1A"/>
                <w:sz w:val="19"/>
                <w:szCs w:val="19"/>
              </w:rPr>
              <w:t xml:space="preserve">Consumer Business Group</w:t>
            </w:r>
          </w:p>
        </w:tc>
        <w:tc>
          <w:tcPr>
            <w:tcW w:type="dxa" w:w="4680"/>
            <w:tcBorders>
              <w:top w:val="single" w:color="CCCCCC" w:sz="1"/>
              <w:left w:val="single" w:color="CCCCCC" w:sz="1"/>
              <w:bottom w:val="single" w:color="CCCCCC" w:sz="1"/>
              <w:right w:val="single" w:color="CCCCCC" w:sz="1"/>
            </w:tcBorders>
            <w:shd w:fill="F4F3EF" w:val="clear"/>
            <w:tcMar>
              <w:top w:type="dxa" w:w="50"/>
              <w:left w:type="dxa" w:w="120"/>
              <w:bottom w:type="dxa" w:w="50"/>
              <w:right w:type="dxa" w:w="120"/>
            </w:tcMar>
          </w:tcPr>
          <w:p>
            <w:pPr>
              <w:jc w:val="center"/>
            </w:pPr>
            <w:r>
              <w:rPr>
                <w:rFonts w:ascii="Arial" w:cs="Arial" w:eastAsia="Arial" w:hAnsi="Arial"/>
                <w:b/>
                <w:bCs/>
                <w:color w:val="0C447C"/>
                <w:sz w:val="19"/>
                <w:szCs w:val="19"/>
              </w:rPr>
              <w:t xml:space="preserve">15.4%</w:t>
            </w:r>
          </w:p>
        </w:tc>
      </w:tr>
      <w:tr>
        <w:tc>
          <w:tcPr>
            <w:tcW w:type="dxa" w:w="4680"/>
            <w:tcBorders>
              <w:top w:val="single" w:color="CCCCCC" w:sz="1"/>
              <w:left w:val="single" w:color="CCCCCC" w:sz="1"/>
              <w:bottom w:val="single" w:color="CCCCCC" w:sz="1"/>
              <w:right w:val="single" w:color="CCCCCC" w:sz="1"/>
            </w:tcBorders>
            <w:shd w:fill="FFFFFF" w:val="clear"/>
            <w:tcMar>
              <w:top w:type="dxa" w:w="50"/>
              <w:left w:type="dxa" w:w="120"/>
              <w:bottom w:type="dxa" w:w="50"/>
              <w:right w:type="dxa" w:w="120"/>
            </w:tcMar>
          </w:tcPr>
          <w:p>
            <w:r>
              <w:rPr>
                <w:rFonts w:ascii="Arial" w:cs="Arial" w:eastAsia="Arial" w:hAnsi="Arial"/>
                <w:color w:val="1A1A1A"/>
                <w:sz w:val="19"/>
                <w:szCs w:val="19"/>
              </w:rPr>
              <w:t xml:space="preserve">Regional Markets &amp; Others</w:t>
            </w:r>
          </w:p>
        </w:tc>
        <w:tc>
          <w:tcPr>
            <w:tcW w:type="dxa" w:w="4680"/>
            <w:tcBorders>
              <w:top w:val="single" w:color="CCCCCC" w:sz="1"/>
              <w:left w:val="single" w:color="CCCCCC" w:sz="1"/>
              <w:bottom w:val="single" w:color="CCCCCC" w:sz="1"/>
              <w:right w:val="single" w:color="CCCCCC" w:sz="1"/>
            </w:tcBorders>
            <w:shd w:fill="FFFFFF" w:val="clear"/>
            <w:tcMar>
              <w:top w:type="dxa" w:w="50"/>
              <w:left w:type="dxa" w:w="120"/>
              <w:bottom w:type="dxa" w:w="50"/>
              <w:right w:type="dxa" w:w="120"/>
            </w:tcMar>
          </w:tcPr>
          <w:p>
            <w:pPr>
              <w:jc w:val="center"/>
            </w:pPr>
            <w:r>
              <w:rPr>
                <w:rFonts w:ascii="Arial" w:cs="Arial" w:eastAsia="Arial" w:hAnsi="Arial"/>
                <w:b/>
                <w:bCs/>
                <w:color w:val="0C447C"/>
                <w:sz w:val="19"/>
                <w:szCs w:val="19"/>
              </w:rPr>
              <w:t xml:space="preserve">13.1%</w:t>
            </w:r>
          </w:p>
        </w:tc>
      </w:tr>
      <w:tr>
        <w:tc>
          <w:tcPr>
            <w:tcW w:type="dxa" w:w="4680"/>
            <w:tcBorders>
              <w:top w:val="single" w:color="CCCCCC" w:sz="1"/>
              <w:left w:val="single" w:color="CCCCCC" w:sz="1"/>
              <w:bottom w:val="single" w:color="CCCCCC" w:sz="1"/>
              <w:right w:val="single" w:color="CCCCCC" w:sz="1"/>
            </w:tcBorders>
            <w:shd w:fill="F4F3EF" w:val="clear"/>
            <w:tcMar>
              <w:top w:type="dxa" w:w="50"/>
              <w:left w:type="dxa" w:w="120"/>
              <w:bottom w:type="dxa" w:w="50"/>
              <w:right w:type="dxa" w:w="120"/>
            </w:tcMar>
          </w:tcPr>
          <w:p>
            <w:r>
              <w:rPr>
                <w:rFonts w:ascii="Arial" w:cs="Arial" w:eastAsia="Arial" w:hAnsi="Arial"/>
                <w:color w:val="1A1A1A"/>
                <w:sz w:val="19"/>
                <w:szCs w:val="19"/>
              </w:rPr>
              <w:t xml:space="preserve">Life Sciences &amp; Healthcare</w:t>
            </w:r>
          </w:p>
        </w:tc>
        <w:tc>
          <w:tcPr>
            <w:tcW w:type="dxa" w:w="4680"/>
            <w:tcBorders>
              <w:top w:val="single" w:color="CCCCCC" w:sz="1"/>
              <w:left w:val="single" w:color="CCCCCC" w:sz="1"/>
              <w:bottom w:val="single" w:color="CCCCCC" w:sz="1"/>
              <w:right w:val="single" w:color="CCCCCC" w:sz="1"/>
            </w:tcBorders>
            <w:shd w:fill="F4F3EF" w:val="clear"/>
            <w:tcMar>
              <w:top w:type="dxa" w:w="50"/>
              <w:left w:type="dxa" w:w="120"/>
              <w:bottom w:type="dxa" w:w="50"/>
              <w:right w:type="dxa" w:w="120"/>
            </w:tcMar>
          </w:tcPr>
          <w:p>
            <w:pPr>
              <w:jc w:val="center"/>
            </w:pPr>
            <w:r>
              <w:rPr>
                <w:rFonts w:ascii="Arial" w:cs="Arial" w:eastAsia="Arial" w:hAnsi="Arial"/>
                <w:b/>
                <w:bCs/>
                <w:color w:val="0C447C"/>
                <w:sz w:val="19"/>
                <w:szCs w:val="19"/>
              </w:rPr>
              <w:t xml:space="preserve">10.5%</w:t>
            </w:r>
          </w:p>
        </w:tc>
      </w:tr>
      <w:tr>
        <w:tc>
          <w:tcPr>
            <w:tcW w:type="dxa" w:w="4680"/>
            <w:tcBorders>
              <w:top w:val="single" w:color="CCCCCC" w:sz="1"/>
              <w:left w:val="single" w:color="CCCCCC" w:sz="1"/>
              <w:bottom w:val="single" w:color="CCCCCC" w:sz="1"/>
              <w:right w:val="single" w:color="CCCCCC" w:sz="1"/>
            </w:tcBorders>
            <w:shd w:fill="FFFFFF" w:val="clear"/>
            <w:tcMar>
              <w:top w:type="dxa" w:w="50"/>
              <w:left w:type="dxa" w:w="120"/>
              <w:bottom w:type="dxa" w:w="50"/>
              <w:right w:type="dxa" w:w="120"/>
            </w:tcMar>
          </w:tcPr>
          <w:p>
            <w:r>
              <w:rPr>
                <w:rFonts w:ascii="Arial" w:cs="Arial" w:eastAsia="Arial" w:hAnsi="Arial"/>
                <w:color w:val="1A1A1A"/>
                <w:sz w:val="19"/>
                <w:szCs w:val="19"/>
              </w:rPr>
              <w:t xml:space="preserve">Manufacturing</w:t>
            </w:r>
          </w:p>
        </w:tc>
        <w:tc>
          <w:tcPr>
            <w:tcW w:type="dxa" w:w="4680"/>
            <w:tcBorders>
              <w:top w:val="single" w:color="CCCCCC" w:sz="1"/>
              <w:left w:val="single" w:color="CCCCCC" w:sz="1"/>
              <w:bottom w:val="single" w:color="CCCCCC" w:sz="1"/>
              <w:right w:val="single" w:color="CCCCCC" w:sz="1"/>
            </w:tcBorders>
            <w:shd w:fill="FFFFFF" w:val="clear"/>
            <w:tcMar>
              <w:top w:type="dxa" w:w="50"/>
              <w:left w:type="dxa" w:w="120"/>
              <w:bottom w:type="dxa" w:w="50"/>
              <w:right w:type="dxa" w:w="120"/>
            </w:tcMar>
          </w:tcPr>
          <w:p>
            <w:pPr>
              <w:jc w:val="center"/>
            </w:pPr>
            <w:r>
              <w:rPr>
                <w:rFonts w:ascii="Arial" w:cs="Arial" w:eastAsia="Arial" w:hAnsi="Arial"/>
                <w:b/>
                <w:bCs/>
                <w:color w:val="0C447C"/>
                <w:sz w:val="19"/>
                <w:szCs w:val="19"/>
              </w:rPr>
              <w:t xml:space="preserve">8.8%</w:t>
            </w:r>
          </w:p>
        </w:tc>
      </w:tr>
      <w:tr>
        <w:tc>
          <w:tcPr>
            <w:tcW w:type="dxa" w:w="4680"/>
            <w:tcBorders>
              <w:top w:val="single" w:color="CCCCCC" w:sz="1"/>
              <w:left w:val="single" w:color="CCCCCC" w:sz="1"/>
              <w:bottom w:val="single" w:color="CCCCCC" w:sz="1"/>
              <w:right w:val="single" w:color="CCCCCC" w:sz="1"/>
            </w:tcBorders>
            <w:shd w:fill="F4F3EF" w:val="clear"/>
            <w:tcMar>
              <w:top w:type="dxa" w:w="50"/>
              <w:left w:type="dxa" w:w="120"/>
              <w:bottom w:type="dxa" w:w="50"/>
              <w:right w:type="dxa" w:w="120"/>
            </w:tcMar>
          </w:tcPr>
          <w:p>
            <w:r>
              <w:rPr>
                <w:rFonts w:ascii="Arial" w:cs="Arial" w:eastAsia="Arial" w:hAnsi="Arial"/>
                <w:color w:val="1A1A1A"/>
                <w:sz w:val="19"/>
                <w:szCs w:val="19"/>
              </w:rPr>
              <w:t xml:space="preserve">Technology &amp; Services</w:t>
            </w:r>
          </w:p>
        </w:tc>
        <w:tc>
          <w:tcPr>
            <w:tcW w:type="dxa" w:w="4680"/>
            <w:tcBorders>
              <w:top w:val="single" w:color="CCCCCC" w:sz="1"/>
              <w:left w:val="single" w:color="CCCCCC" w:sz="1"/>
              <w:bottom w:val="single" w:color="CCCCCC" w:sz="1"/>
              <w:right w:val="single" w:color="CCCCCC" w:sz="1"/>
            </w:tcBorders>
            <w:shd w:fill="F4F3EF" w:val="clear"/>
            <w:tcMar>
              <w:top w:type="dxa" w:w="50"/>
              <w:left w:type="dxa" w:w="120"/>
              <w:bottom w:type="dxa" w:w="50"/>
              <w:right w:type="dxa" w:w="120"/>
            </w:tcMar>
          </w:tcPr>
          <w:p>
            <w:pPr>
              <w:jc w:val="center"/>
            </w:pPr>
            <w:r>
              <w:rPr>
                <w:rFonts w:ascii="Arial" w:cs="Arial" w:eastAsia="Arial" w:hAnsi="Arial"/>
                <w:b/>
                <w:bCs/>
                <w:color w:val="0C447C"/>
                <w:sz w:val="19"/>
                <w:szCs w:val="19"/>
              </w:rPr>
              <w:t xml:space="preserve">8.4%</w:t>
            </w:r>
          </w:p>
        </w:tc>
      </w:tr>
      <w:tr>
        <w:tc>
          <w:tcPr>
            <w:tcW w:type="dxa" w:w="4680"/>
            <w:tcBorders>
              <w:top w:val="single" w:color="CCCCCC" w:sz="1"/>
              <w:left w:val="single" w:color="CCCCCC" w:sz="1"/>
              <w:bottom w:val="single" w:color="CCCCCC" w:sz="1"/>
              <w:right w:val="single" w:color="CCCCCC" w:sz="1"/>
            </w:tcBorders>
            <w:shd w:fill="FFFFFF" w:val="clear"/>
            <w:tcMar>
              <w:top w:type="dxa" w:w="50"/>
              <w:left w:type="dxa" w:w="120"/>
              <w:bottom w:type="dxa" w:w="50"/>
              <w:right w:type="dxa" w:w="120"/>
            </w:tcMar>
          </w:tcPr>
          <w:p>
            <w:r>
              <w:rPr>
                <w:rFonts w:ascii="Arial" w:cs="Arial" w:eastAsia="Arial" w:hAnsi="Arial"/>
                <w:color w:val="1A1A1A"/>
                <w:sz w:val="19"/>
                <w:szCs w:val="19"/>
              </w:rPr>
              <w:t xml:space="preserve">Energy, Resources &amp; Utilities (ERU)</w:t>
            </w:r>
          </w:p>
        </w:tc>
        <w:tc>
          <w:tcPr>
            <w:tcW w:type="dxa" w:w="4680"/>
            <w:tcBorders>
              <w:top w:val="single" w:color="CCCCCC" w:sz="1"/>
              <w:left w:val="single" w:color="CCCCCC" w:sz="1"/>
              <w:bottom w:val="single" w:color="CCCCCC" w:sz="1"/>
              <w:right w:val="single" w:color="CCCCCC" w:sz="1"/>
            </w:tcBorders>
            <w:shd w:fill="FFFFFF" w:val="clear"/>
            <w:tcMar>
              <w:top w:type="dxa" w:w="50"/>
              <w:left w:type="dxa" w:w="120"/>
              <w:bottom w:type="dxa" w:w="50"/>
              <w:right w:type="dxa" w:w="120"/>
            </w:tcMar>
          </w:tcPr>
          <w:p>
            <w:pPr>
              <w:jc w:val="center"/>
            </w:pPr>
            <w:r>
              <w:rPr>
                <w:rFonts w:ascii="Arial" w:cs="Arial" w:eastAsia="Arial" w:hAnsi="Arial"/>
                <w:b/>
                <w:bCs/>
                <w:color w:val="0C447C"/>
                <w:sz w:val="19"/>
                <w:szCs w:val="19"/>
              </w:rPr>
              <w:t xml:space="preserve">6.0%</w:t>
            </w:r>
          </w:p>
        </w:tc>
      </w:tr>
      <w:tr>
        <w:tc>
          <w:tcPr>
            <w:tcW w:type="dxa" w:w="4680"/>
            <w:tcBorders>
              <w:top w:val="single" w:color="CCCCCC" w:sz="1"/>
              <w:left w:val="single" w:color="CCCCCC" w:sz="1"/>
              <w:bottom w:val="single" w:color="CCCCCC" w:sz="1"/>
              <w:right w:val="single" w:color="CCCCCC" w:sz="1"/>
            </w:tcBorders>
            <w:shd w:fill="F4F3EF" w:val="clear"/>
            <w:tcMar>
              <w:top w:type="dxa" w:w="50"/>
              <w:left w:type="dxa" w:w="120"/>
              <w:bottom w:type="dxa" w:w="50"/>
              <w:right w:type="dxa" w:w="120"/>
            </w:tcMar>
          </w:tcPr>
          <w:p>
            <w:r>
              <w:rPr>
                <w:rFonts w:ascii="Arial" w:cs="Arial" w:eastAsia="Arial" w:hAnsi="Arial"/>
                <w:color w:val="1A1A1A"/>
                <w:sz w:val="19"/>
                <w:szCs w:val="19"/>
              </w:rPr>
              <w:t xml:space="preserve">Communications &amp; Media</w:t>
            </w:r>
          </w:p>
        </w:tc>
        <w:tc>
          <w:tcPr>
            <w:tcW w:type="dxa" w:w="4680"/>
            <w:tcBorders>
              <w:top w:val="single" w:color="CCCCCC" w:sz="1"/>
              <w:left w:val="single" w:color="CCCCCC" w:sz="1"/>
              <w:bottom w:val="single" w:color="CCCCCC" w:sz="1"/>
              <w:right w:val="single" w:color="CCCCCC" w:sz="1"/>
            </w:tcBorders>
            <w:shd w:fill="F4F3EF" w:val="clear"/>
            <w:tcMar>
              <w:top w:type="dxa" w:w="50"/>
              <w:left w:type="dxa" w:w="120"/>
              <w:bottom w:type="dxa" w:w="50"/>
              <w:right w:type="dxa" w:w="120"/>
            </w:tcMar>
          </w:tcPr>
          <w:p>
            <w:pPr>
              <w:jc w:val="center"/>
            </w:pPr>
            <w:r>
              <w:rPr>
                <w:rFonts w:ascii="Arial" w:cs="Arial" w:eastAsia="Arial" w:hAnsi="Arial"/>
                <w:b/>
                <w:bCs/>
                <w:color w:val="0C447C"/>
                <w:sz w:val="19"/>
                <w:szCs w:val="19"/>
              </w:rPr>
              <w:t xml:space="preserve">5.9%</w:t>
            </w:r>
          </w:p>
        </w:tc>
      </w:tr>
    </w:tbl>
    <w:p>
      <w:pPr>
        <w:spacing w:after="0" w:before="200"/>
      </w:pPr>
    </w:p>
    <w:p>
      <w:pPr>
        <w:pBdr>
          <w:left w:val="single" w:color="185FA5" w:sz="18" w:space="8"/>
        </w:pBdr>
        <w:shd w:fill="EEF5FC" w:val="clear"/>
        <w:spacing w:after="120" w:before="280"/>
        <w:ind w:left="120"/>
      </w:pPr>
      <w:r>
        <w:rPr>
          <w:rFonts w:ascii="Arial" w:cs="Arial" w:eastAsia="Arial" w:hAnsi="Arial"/>
          <w:b/>
          <w:bCs/>
          <w:color w:val="0C447C"/>
          <w:sz w:val="26"/>
          <w:szCs w:val="26"/>
        </w:rPr>
        <w:t xml:space="preserve">2. Valuation Analysis</w:t>
      </w:r>
    </w:p>
    <w:p>
      <w:pPr>
        <w:spacing w:after="60" w:before="60"/>
      </w:pPr>
      <w:r>
        <w:rPr>
          <w:rFonts w:ascii="Arial" w:cs="Arial" w:eastAsia="Arial" w:hAnsi="Arial"/>
          <w:color w:val="1A1A1A"/>
          <w:sz w:val="20"/>
          <w:szCs w:val="20"/>
        </w:rPr>
        <w:t xml:space="preserve">TCS is trading at a significant discount to its own historical averages — a multi-year low in valuation multiples — driven by muted CC growth expectations and macro uncertainty rather than any fundamental deterioration.</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0"/>
        <w:gridCol w:w="4360"/>
      </w:tblGrid>
      <w:tr>
        <w:tc>
          <w:tcPr>
            <w:tcW w:type="dxa" w:w="5000"/>
            <w:tcBorders>
              <w:top w:val="single" w:color="CCCCCC" w:sz="1"/>
              <w:left w:val="single" w:color="CCCCCC" w:sz="1"/>
              <w:bottom w:val="single" w:color="CCCCCC" w:sz="1"/>
              <w:right w:val="single" w:color="CCCCCC" w:sz="1"/>
            </w:tcBorders>
            <w:shd w:fill="F4F3EF" w:val="clear"/>
            <w:tcMar>
              <w:top w:type="dxa" w:w="60"/>
              <w:left w:type="dxa" w:w="120"/>
              <w:bottom w:type="dxa" w:w="60"/>
              <w:right w:type="dxa" w:w="80"/>
            </w:tcMar>
          </w:tcPr>
          <w:p>
            <w:r>
              <w:rPr>
                <w:rFonts w:ascii="Arial" w:cs="Arial" w:eastAsia="Arial" w:hAnsi="Arial"/>
                <w:color w:val="5F5E5A"/>
                <w:sz w:val="19"/>
                <w:szCs w:val="19"/>
              </w:rPr>
              <w:t xml:space="preserve">P/E (TTM)</w:t>
            </w:r>
          </w:p>
        </w:tc>
        <w:tc>
          <w:tcPr>
            <w:tcW w:type="dxa" w:w="4360"/>
            <w:tcBorders>
              <w:top w:val="single" w:color="CCCCCC" w:sz="1"/>
              <w:left w:val="single" w:color="CCCCCC" w:sz="1"/>
              <w:bottom w:val="single" w:color="CCCCCC" w:sz="1"/>
              <w:right w:val="single" w:color="CCCCCC" w:sz="1"/>
            </w:tcBorders>
            <w:shd w:fill="D6E8F8" w:val="clear"/>
            <w:tcMar>
              <w:top w:type="dxa" w:w="40"/>
              <w:left w:type="dxa" w:w="80"/>
              <w:bottom w:type="dxa" w:w="40"/>
              <w:right w:type="dxa" w:w="80"/>
            </w:tcMar>
          </w:tcPr>
          <w:p>
            <w:pPr>
              <w:jc w:val="center"/>
            </w:pPr>
            <w:r>
              <w:rPr>
                <w:rFonts w:ascii="Arial" w:cs="Arial" w:eastAsia="Arial" w:hAnsi="Arial"/>
                <w:b/>
                <w:bCs/>
                <w:color w:val="0C447C"/>
                <w:sz w:val="18"/>
                <w:szCs w:val="18"/>
              </w:rPr>
              <w:t xml:space="preserve">15.6x — vs 5Y avg ~27x (42% discount)</w:t>
            </w:r>
          </w:p>
        </w:tc>
      </w:tr>
      <w:tr>
        <w:tc>
          <w:tcPr>
            <w:tcW w:type="dxa" w:w="5000"/>
            <w:tcBorders>
              <w:top w:val="single" w:color="CCCCCC" w:sz="1"/>
              <w:left w:val="single" w:color="CCCCCC" w:sz="1"/>
              <w:bottom w:val="single" w:color="CCCCCC" w:sz="1"/>
              <w:right w:val="single" w:color="CCCCCC" w:sz="1"/>
            </w:tcBorders>
            <w:shd w:fill="F4F3EF" w:val="clear"/>
            <w:tcMar>
              <w:top w:type="dxa" w:w="60"/>
              <w:left w:type="dxa" w:w="120"/>
              <w:bottom w:type="dxa" w:w="60"/>
              <w:right w:type="dxa" w:w="80"/>
            </w:tcMar>
          </w:tcPr>
          <w:p>
            <w:r>
              <w:rPr>
                <w:rFonts w:ascii="Arial" w:cs="Arial" w:eastAsia="Arial" w:hAnsi="Arial"/>
                <w:color w:val="5F5E5A"/>
                <w:sz w:val="19"/>
                <w:szCs w:val="19"/>
              </w:rPr>
              <w:t xml:space="preserve">P/B Ratio</w:t>
            </w:r>
          </w:p>
        </w:tc>
        <w:tc>
          <w:tcPr>
            <w:tcW w:type="dxa" w:w="4360"/>
            <w:tcBorders>
              <w:top w:val="single" w:color="CCCCCC" w:sz="1"/>
              <w:left w:val="single" w:color="CCCCCC" w:sz="1"/>
              <w:bottom w:val="single" w:color="CCCCCC" w:sz="1"/>
              <w:right w:val="single" w:color="CCCCCC" w:sz="1"/>
            </w:tcBorders>
            <w:shd w:fill="FDF0D8" w:val="clear"/>
            <w:tcMar>
              <w:top w:type="dxa" w:w="40"/>
              <w:left w:type="dxa" w:w="80"/>
              <w:bottom w:type="dxa" w:w="40"/>
              <w:right w:type="dxa" w:w="80"/>
            </w:tcMar>
          </w:tcPr>
          <w:p>
            <w:pPr>
              <w:jc w:val="center"/>
            </w:pPr>
            <w:r>
              <w:rPr>
                <w:rFonts w:ascii="Arial" w:cs="Arial" w:eastAsia="Arial" w:hAnsi="Arial"/>
                <w:b/>
                <w:bCs/>
                <w:color w:val="854F0B"/>
                <w:sz w:val="18"/>
                <w:szCs w:val="18"/>
              </w:rPr>
              <w:t xml:space="preserve">7.2x — Premium but justified by ROE</w:t>
            </w:r>
          </w:p>
        </w:tc>
      </w:tr>
      <w:tr>
        <w:tc>
          <w:tcPr>
            <w:tcW w:type="dxa" w:w="5000"/>
            <w:tcBorders>
              <w:top w:val="single" w:color="CCCCCC" w:sz="1"/>
              <w:left w:val="single" w:color="CCCCCC" w:sz="1"/>
              <w:bottom w:val="single" w:color="CCCCCC" w:sz="1"/>
              <w:right w:val="single" w:color="CCCCCC" w:sz="1"/>
            </w:tcBorders>
            <w:shd w:fill="F4F3EF" w:val="clear"/>
            <w:tcMar>
              <w:top w:type="dxa" w:w="60"/>
              <w:left w:type="dxa" w:w="120"/>
              <w:bottom w:type="dxa" w:w="60"/>
              <w:right w:type="dxa" w:w="80"/>
            </w:tcMar>
          </w:tcPr>
          <w:p>
            <w:r>
              <w:rPr>
                <w:rFonts w:ascii="Arial" w:cs="Arial" w:eastAsia="Arial" w:hAnsi="Arial"/>
                <w:color w:val="5F5E5A"/>
                <w:sz w:val="19"/>
                <w:szCs w:val="19"/>
              </w:rPr>
              <w:t xml:space="preserve">EV/EBITDA</w:t>
            </w:r>
          </w:p>
        </w:tc>
        <w:tc>
          <w:tcPr>
            <w:tcW w:type="dxa" w:w="4360"/>
            <w:tcBorders>
              <w:top w:val="single" w:color="CCCCCC" w:sz="1"/>
              <w:left w:val="single" w:color="CCCCCC" w:sz="1"/>
              <w:bottom w:val="single" w:color="CCCCCC" w:sz="1"/>
              <w:right w:val="single" w:color="CCCCCC" w:sz="1"/>
            </w:tcBorders>
            <w:shd w:fill="E4F1D5" w:val="clear"/>
            <w:tcMar>
              <w:top w:type="dxa" w:w="40"/>
              <w:left w:type="dxa" w:w="80"/>
              <w:bottom w:type="dxa" w:w="40"/>
              <w:right w:type="dxa" w:w="80"/>
            </w:tcMar>
          </w:tcPr>
          <w:p>
            <w:pPr>
              <w:jc w:val="center"/>
            </w:pPr>
            <w:r>
              <w:rPr>
                <w:rFonts w:ascii="Arial" w:cs="Arial" w:eastAsia="Arial" w:hAnsi="Arial"/>
                <w:b/>
                <w:bCs/>
                <w:color w:val="3B6D11"/>
                <w:sz w:val="18"/>
                <w:szCs w:val="18"/>
              </w:rPr>
              <w:t xml:space="preserve">~11x — Sector avg 15–18x</w:t>
            </w:r>
          </w:p>
        </w:tc>
      </w:tr>
      <w:tr>
        <w:tc>
          <w:tcPr>
            <w:tcW w:type="dxa" w:w="5000"/>
            <w:tcBorders>
              <w:top w:val="single" w:color="CCCCCC" w:sz="1"/>
              <w:left w:val="single" w:color="CCCCCC" w:sz="1"/>
              <w:bottom w:val="single" w:color="CCCCCC" w:sz="1"/>
              <w:right w:val="single" w:color="CCCCCC" w:sz="1"/>
            </w:tcBorders>
            <w:shd w:fill="F4F3EF" w:val="clear"/>
            <w:tcMar>
              <w:top w:type="dxa" w:w="60"/>
              <w:left w:type="dxa" w:w="120"/>
              <w:bottom w:type="dxa" w:w="60"/>
              <w:right w:type="dxa" w:w="80"/>
            </w:tcMar>
          </w:tcPr>
          <w:p>
            <w:r>
              <w:rPr>
                <w:rFonts w:ascii="Arial" w:cs="Arial" w:eastAsia="Arial" w:hAnsi="Arial"/>
                <w:color w:val="5F5E5A"/>
                <w:sz w:val="19"/>
                <w:szCs w:val="19"/>
              </w:rPr>
              <w:t xml:space="preserve">P/E vs Sector Median (29x)</w:t>
            </w:r>
          </w:p>
        </w:tc>
        <w:tc>
          <w:tcPr>
            <w:tcW w:type="dxa" w:w="4360"/>
            <w:tcBorders>
              <w:top w:val="single" w:color="CCCCCC" w:sz="1"/>
              <w:left w:val="single" w:color="CCCCCC" w:sz="1"/>
              <w:bottom w:val="single" w:color="CCCCCC" w:sz="1"/>
              <w:right w:val="single" w:color="CCCCCC" w:sz="1"/>
            </w:tcBorders>
            <w:shd w:fill="E4F1D5" w:val="clear"/>
            <w:tcMar>
              <w:top w:type="dxa" w:w="40"/>
              <w:left w:type="dxa" w:w="80"/>
              <w:bottom w:type="dxa" w:w="40"/>
              <w:right w:type="dxa" w:w="80"/>
            </w:tcMar>
          </w:tcPr>
          <w:p>
            <w:pPr>
              <w:jc w:val="center"/>
            </w:pPr>
            <w:r>
              <w:rPr>
                <w:rFonts w:ascii="Arial" w:cs="Arial" w:eastAsia="Arial" w:hAnsi="Arial"/>
                <w:b/>
                <w:bCs/>
                <w:color w:val="3B6D11"/>
                <w:sz w:val="18"/>
                <w:szCs w:val="18"/>
              </w:rPr>
              <w:t xml:space="preserve">47% discount — Historically attractive</w:t>
            </w:r>
          </w:p>
        </w:tc>
      </w:tr>
      <w:tr>
        <w:tc>
          <w:tcPr>
            <w:tcW w:type="dxa" w:w="5000"/>
            <w:tcBorders>
              <w:top w:val="single" w:color="CCCCCC" w:sz="1"/>
              <w:left w:val="single" w:color="CCCCCC" w:sz="1"/>
              <w:bottom w:val="single" w:color="CCCCCC" w:sz="1"/>
              <w:right w:val="single" w:color="CCCCCC" w:sz="1"/>
            </w:tcBorders>
            <w:shd w:fill="F4F3EF" w:val="clear"/>
            <w:tcMar>
              <w:top w:type="dxa" w:w="60"/>
              <w:left w:type="dxa" w:w="120"/>
              <w:bottom w:type="dxa" w:w="60"/>
              <w:right w:type="dxa" w:w="80"/>
            </w:tcMar>
          </w:tcPr>
          <w:p>
            <w:r>
              <w:rPr>
                <w:rFonts w:ascii="Arial" w:cs="Arial" w:eastAsia="Arial" w:hAnsi="Arial"/>
                <w:color w:val="5F5E5A"/>
                <w:sz w:val="19"/>
                <w:szCs w:val="19"/>
              </w:rPr>
              <w:t xml:space="preserve">Dividend Yield</w:t>
            </w:r>
          </w:p>
        </w:tc>
        <w:tc>
          <w:tcPr>
            <w:tcW w:type="dxa" w:w="4360"/>
            <w:tcBorders>
              <w:top w:val="single" w:color="CCCCCC" w:sz="1"/>
              <w:left w:val="single" w:color="CCCCCC" w:sz="1"/>
              <w:bottom w:val="single" w:color="CCCCCC" w:sz="1"/>
              <w:right w:val="single" w:color="CCCCCC" w:sz="1"/>
            </w:tcBorders>
            <w:shd w:fill="E4F1D5" w:val="clear"/>
            <w:tcMar>
              <w:top w:type="dxa" w:w="40"/>
              <w:left w:type="dxa" w:w="80"/>
              <w:bottom w:type="dxa" w:w="40"/>
              <w:right w:type="dxa" w:w="80"/>
            </w:tcMar>
          </w:tcPr>
          <w:p>
            <w:pPr>
              <w:jc w:val="center"/>
            </w:pPr>
            <w:r>
              <w:rPr>
                <w:rFonts w:ascii="Arial" w:cs="Arial" w:eastAsia="Arial" w:hAnsi="Arial"/>
                <w:b/>
                <w:bCs/>
                <w:color w:val="3B6D11"/>
                <w:sz w:val="18"/>
                <w:szCs w:val="18"/>
              </w:rPr>
              <w:t xml:space="preserve">5.2% — One of the best in Nifty 50</w:t>
            </w:r>
          </w:p>
        </w:tc>
      </w:tr>
      <w:tr>
        <w:tc>
          <w:tcPr>
            <w:tcW w:type="dxa" w:w="5000"/>
            <w:tcBorders>
              <w:top w:val="single" w:color="CCCCCC" w:sz="1"/>
              <w:left w:val="single" w:color="CCCCCC" w:sz="1"/>
              <w:bottom w:val="single" w:color="CCCCCC" w:sz="1"/>
              <w:right w:val="single" w:color="CCCCCC" w:sz="1"/>
            </w:tcBorders>
            <w:shd w:fill="F4F3EF" w:val="clear"/>
            <w:tcMar>
              <w:top w:type="dxa" w:w="60"/>
              <w:left w:type="dxa" w:w="120"/>
              <w:bottom w:type="dxa" w:w="60"/>
              <w:right w:type="dxa" w:w="80"/>
            </w:tcMar>
          </w:tcPr>
          <w:p>
            <w:r>
              <w:rPr>
                <w:rFonts w:ascii="Arial" w:cs="Arial" w:eastAsia="Arial" w:hAnsi="Arial"/>
                <w:color w:val="5F5E5A"/>
                <w:sz w:val="19"/>
                <w:szCs w:val="19"/>
              </w:rPr>
              <w:t xml:space="preserve">Overall Valuation Verdict</w:t>
            </w:r>
          </w:p>
        </w:tc>
        <w:tc>
          <w:tcPr>
            <w:tcW w:type="dxa" w:w="4360"/>
            <w:tcBorders>
              <w:top w:val="single" w:color="CCCCCC" w:sz="1"/>
              <w:left w:val="single" w:color="CCCCCC" w:sz="1"/>
              <w:bottom w:val="single" w:color="CCCCCC" w:sz="1"/>
              <w:right w:val="single" w:color="CCCCCC" w:sz="1"/>
            </w:tcBorders>
            <w:shd w:fill="E4F1D5" w:val="clear"/>
            <w:tcMar>
              <w:top w:type="dxa" w:w="40"/>
              <w:left w:type="dxa" w:w="80"/>
              <w:bottom w:type="dxa" w:w="40"/>
              <w:right w:type="dxa" w:w="80"/>
            </w:tcMar>
          </w:tcPr>
          <w:p>
            <w:pPr>
              <w:jc w:val="center"/>
            </w:pPr>
            <w:r>
              <w:rPr>
                <w:rFonts w:ascii="Arial" w:cs="Arial" w:eastAsia="Arial" w:hAnsi="Arial"/>
                <w:b/>
                <w:bCs/>
                <w:color w:val="3B6D11"/>
                <w:sz w:val="18"/>
                <w:szCs w:val="18"/>
              </w:rPr>
              <w:t xml:space="preserve">CHEAP vs History — Multi-year low multiple</w:t>
            </w:r>
          </w:p>
        </w:tc>
      </w:tr>
    </w:tbl>
    <w:p>
      <w:pPr>
        <w:spacing w:after="0" w:before="80"/>
      </w:pPr>
    </w:p>
    <w:p>
      <w:pPr>
        <w:spacing w:after="80" w:before="200"/>
      </w:pPr>
      <w:r>
        <w:rPr>
          <w:rFonts w:ascii="Arial" w:cs="Arial" w:eastAsia="Arial" w:hAnsi="Arial"/>
          <w:b/>
          <w:bCs/>
          <w:color w:val="185FA5"/>
          <w:sz w:val="22"/>
          <w:szCs w:val="22"/>
        </w:rPr>
        <w:t xml:space="preserve">P/E History (FY20–FY26)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37"/>
        <w:gridCol w:w="1337"/>
        <w:gridCol w:w="1337"/>
        <w:gridCol w:w="1337"/>
        <w:gridCol w:w="1337"/>
        <w:gridCol w:w="1337"/>
        <w:gridCol w:w="1338"/>
      </w:tblGrid>
      <w:tr>
        <w:tc>
          <w:tcPr>
            <w:tcW w:type="dxa" w:w="1337"/>
            <w:tcBorders>
              <w:top w:val="single" w:color="CCCCCC" w:sz="1"/>
              <w:left w:val="single" w:color="CCCCCC" w:sz="1"/>
              <w:bottom w:val="single" w:color="CCCCCC" w:sz="1"/>
              <w:right w:val="single" w:color="CCCCCC" w:sz="1"/>
            </w:tcBorders>
            <w:shd w:fill="0C447C" w:val="clear"/>
            <w:tcMar>
              <w:top w:type="dxa" w:w="50"/>
              <w:left w:type="dxa" w:w="60"/>
              <w:bottom w:type="dxa" w:w="50"/>
              <w:right w:type="dxa" w:w="60"/>
            </w:tcMar>
          </w:tcPr>
          <w:p>
            <w:pPr>
              <w:jc w:val="center"/>
            </w:pPr>
            <w:r>
              <w:rPr>
                <w:rFonts w:ascii="Arial" w:cs="Arial" w:eastAsia="Arial" w:hAnsi="Arial"/>
                <w:b/>
                <w:bCs/>
                <w:color w:val="FFFFFF"/>
                <w:sz w:val="17"/>
                <w:szCs w:val="17"/>
              </w:rPr>
              <w:t xml:space="preserve">FY20</w:t>
            </w:r>
          </w:p>
        </w:tc>
        <w:tc>
          <w:tcPr>
            <w:tcW w:type="dxa" w:w="1337"/>
            <w:tcBorders>
              <w:top w:val="single" w:color="CCCCCC" w:sz="1"/>
              <w:left w:val="single" w:color="CCCCCC" w:sz="1"/>
              <w:bottom w:val="single" w:color="CCCCCC" w:sz="1"/>
              <w:right w:val="single" w:color="CCCCCC" w:sz="1"/>
            </w:tcBorders>
            <w:shd w:fill="0C447C" w:val="clear"/>
            <w:tcMar>
              <w:top w:type="dxa" w:w="50"/>
              <w:left w:type="dxa" w:w="60"/>
              <w:bottom w:type="dxa" w:w="50"/>
              <w:right w:type="dxa" w:w="60"/>
            </w:tcMar>
          </w:tcPr>
          <w:p>
            <w:pPr>
              <w:jc w:val="center"/>
            </w:pPr>
            <w:r>
              <w:rPr>
                <w:rFonts w:ascii="Arial" w:cs="Arial" w:eastAsia="Arial" w:hAnsi="Arial"/>
                <w:b/>
                <w:bCs/>
                <w:color w:val="FFFFFF"/>
                <w:sz w:val="17"/>
                <w:szCs w:val="17"/>
              </w:rPr>
              <w:t xml:space="preserve">FY21</w:t>
            </w:r>
          </w:p>
        </w:tc>
        <w:tc>
          <w:tcPr>
            <w:tcW w:type="dxa" w:w="1337"/>
            <w:tcBorders>
              <w:top w:val="single" w:color="CCCCCC" w:sz="1"/>
              <w:left w:val="single" w:color="CCCCCC" w:sz="1"/>
              <w:bottom w:val="single" w:color="CCCCCC" w:sz="1"/>
              <w:right w:val="single" w:color="CCCCCC" w:sz="1"/>
            </w:tcBorders>
            <w:shd w:fill="0C447C" w:val="clear"/>
            <w:tcMar>
              <w:top w:type="dxa" w:w="50"/>
              <w:left w:type="dxa" w:w="60"/>
              <w:bottom w:type="dxa" w:w="50"/>
              <w:right w:type="dxa" w:w="60"/>
            </w:tcMar>
          </w:tcPr>
          <w:p>
            <w:pPr>
              <w:jc w:val="center"/>
            </w:pPr>
            <w:r>
              <w:rPr>
                <w:rFonts w:ascii="Arial" w:cs="Arial" w:eastAsia="Arial" w:hAnsi="Arial"/>
                <w:b/>
                <w:bCs/>
                <w:color w:val="FFFFFF"/>
                <w:sz w:val="17"/>
                <w:szCs w:val="17"/>
              </w:rPr>
              <w:t xml:space="preserve">FY22</w:t>
            </w:r>
          </w:p>
        </w:tc>
        <w:tc>
          <w:tcPr>
            <w:tcW w:type="dxa" w:w="1337"/>
            <w:tcBorders>
              <w:top w:val="single" w:color="CCCCCC" w:sz="1"/>
              <w:left w:val="single" w:color="CCCCCC" w:sz="1"/>
              <w:bottom w:val="single" w:color="CCCCCC" w:sz="1"/>
              <w:right w:val="single" w:color="CCCCCC" w:sz="1"/>
            </w:tcBorders>
            <w:shd w:fill="0C447C" w:val="clear"/>
            <w:tcMar>
              <w:top w:type="dxa" w:w="50"/>
              <w:left w:type="dxa" w:w="60"/>
              <w:bottom w:type="dxa" w:w="50"/>
              <w:right w:type="dxa" w:w="60"/>
            </w:tcMar>
          </w:tcPr>
          <w:p>
            <w:pPr>
              <w:jc w:val="center"/>
            </w:pPr>
            <w:r>
              <w:rPr>
                <w:rFonts w:ascii="Arial" w:cs="Arial" w:eastAsia="Arial" w:hAnsi="Arial"/>
                <w:b/>
                <w:bCs/>
                <w:color w:val="FFFFFF"/>
                <w:sz w:val="17"/>
                <w:szCs w:val="17"/>
              </w:rPr>
              <w:t xml:space="preserve">FY23</w:t>
            </w:r>
          </w:p>
        </w:tc>
        <w:tc>
          <w:tcPr>
            <w:tcW w:type="dxa" w:w="1337"/>
            <w:tcBorders>
              <w:top w:val="single" w:color="CCCCCC" w:sz="1"/>
              <w:left w:val="single" w:color="CCCCCC" w:sz="1"/>
              <w:bottom w:val="single" w:color="CCCCCC" w:sz="1"/>
              <w:right w:val="single" w:color="CCCCCC" w:sz="1"/>
            </w:tcBorders>
            <w:shd w:fill="0C447C" w:val="clear"/>
            <w:tcMar>
              <w:top w:type="dxa" w:w="50"/>
              <w:left w:type="dxa" w:w="60"/>
              <w:bottom w:type="dxa" w:w="50"/>
              <w:right w:type="dxa" w:w="60"/>
            </w:tcMar>
          </w:tcPr>
          <w:p>
            <w:pPr>
              <w:jc w:val="center"/>
            </w:pPr>
            <w:r>
              <w:rPr>
                <w:rFonts w:ascii="Arial" w:cs="Arial" w:eastAsia="Arial" w:hAnsi="Arial"/>
                <w:b/>
                <w:bCs/>
                <w:color w:val="FFFFFF"/>
                <w:sz w:val="17"/>
                <w:szCs w:val="17"/>
              </w:rPr>
              <w:t xml:space="preserve">FY24</w:t>
            </w:r>
          </w:p>
        </w:tc>
        <w:tc>
          <w:tcPr>
            <w:tcW w:type="dxa" w:w="1337"/>
            <w:tcBorders>
              <w:top w:val="single" w:color="CCCCCC" w:sz="1"/>
              <w:left w:val="single" w:color="CCCCCC" w:sz="1"/>
              <w:bottom w:val="single" w:color="CCCCCC" w:sz="1"/>
              <w:right w:val="single" w:color="CCCCCC" w:sz="1"/>
            </w:tcBorders>
            <w:shd w:fill="0C447C" w:val="clear"/>
            <w:tcMar>
              <w:top w:type="dxa" w:w="50"/>
              <w:left w:type="dxa" w:w="60"/>
              <w:bottom w:type="dxa" w:w="50"/>
              <w:right w:type="dxa" w:w="60"/>
            </w:tcMar>
          </w:tcPr>
          <w:p>
            <w:pPr>
              <w:jc w:val="center"/>
            </w:pPr>
            <w:r>
              <w:rPr>
                <w:rFonts w:ascii="Arial" w:cs="Arial" w:eastAsia="Arial" w:hAnsi="Arial"/>
                <w:b/>
                <w:bCs/>
                <w:color w:val="FFFFFF"/>
                <w:sz w:val="17"/>
                <w:szCs w:val="17"/>
              </w:rPr>
              <w:t xml:space="preserve">FY25</w:t>
            </w:r>
          </w:p>
        </w:tc>
        <w:tc>
          <w:tcPr>
            <w:tcW w:type="dxa" w:w="1337"/>
            <w:tcBorders>
              <w:top w:val="single" w:color="CCCCCC" w:sz="1"/>
              <w:left w:val="single" w:color="CCCCCC" w:sz="1"/>
              <w:bottom w:val="single" w:color="CCCCCC" w:sz="1"/>
              <w:right w:val="single" w:color="CCCCCC" w:sz="1"/>
            </w:tcBorders>
            <w:shd w:fill="0C447C" w:val="clear"/>
            <w:tcMar>
              <w:top w:type="dxa" w:w="50"/>
              <w:left w:type="dxa" w:w="60"/>
              <w:bottom w:type="dxa" w:w="50"/>
              <w:right w:type="dxa" w:w="60"/>
            </w:tcMar>
          </w:tcPr>
          <w:p>
            <w:pPr>
              <w:jc w:val="center"/>
            </w:pPr>
            <w:r>
              <w:rPr>
                <w:rFonts w:ascii="Arial" w:cs="Arial" w:eastAsia="Arial" w:hAnsi="Arial"/>
                <w:b/>
                <w:bCs/>
                <w:color w:val="FFFFFF"/>
                <w:sz w:val="17"/>
                <w:szCs w:val="17"/>
              </w:rPr>
              <w:t xml:space="preserve">FY26</w:t>
            </w:r>
          </w:p>
        </w:tc>
      </w:tr>
      <w:tr>
        <w:tc>
          <w:tcPr>
            <w:tcW w:type="dxa" w:w="1337"/>
            <w:tcBorders>
              <w:top w:val="single" w:color="CCCCCC" w:sz="1"/>
              <w:left w:val="single" w:color="CCCCCC" w:sz="1"/>
              <w:bottom w:val="single" w:color="CCCCCC" w:sz="1"/>
              <w:right w:val="single" w:color="CCCCCC" w:sz="1"/>
            </w:tcBorders>
            <w:shd w:fill="F4F3EF" w:val="clear"/>
            <w:tcMar>
              <w:top w:type="dxa" w:w="60"/>
              <w:left w:type="dxa" w:w="60"/>
              <w:bottom w:type="dxa" w:w="60"/>
              <w:right w:type="dxa" w:w="60"/>
            </w:tcMar>
          </w:tcPr>
          <w:p>
            <w:pPr>
              <w:jc w:val="center"/>
            </w:pPr>
            <w:r>
              <w:rPr>
                <w:rFonts w:ascii="Arial" w:cs="Arial" w:eastAsia="Arial" w:hAnsi="Arial"/>
                <w:b w:val="false"/>
                <w:bCs w:val="false"/>
                <w:color w:val="0C447C"/>
                <w:sz w:val="20"/>
                <w:szCs w:val="20"/>
              </w:rPr>
              <w:t xml:space="preserve">21x</w:t>
            </w:r>
          </w:p>
        </w:tc>
        <w:tc>
          <w:tcPr>
            <w:tcW w:type="dxa" w:w="1337"/>
            <w:tcBorders>
              <w:top w:val="single" w:color="CCCCCC" w:sz="1"/>
              <w:left w:val="single" w:color="CCCCCC" w:sz="1"/>
              <w:bottom w:val="single" w:color="CCCCCC" w:sz="1"/>
              <w:right w:val="single" w:color="CCCCCC" w:sz="1"/>
            </w:tcBorders>
            <w:shd w:fill="F4F3EF" w:val="clear"/>
            <w:tcMar>
              <w:top w:type="dxa" w:w="60"/>
              <w:left w:type="dxa" w:w="60"/>
              <w:bottom w:type="dxa" w:w="60"/>
              <w:right w:type="dxa" w:w="60"/>
            </w:tcMar>
          </w:tcPr>
          <w:p>
            <w:pPr>
              <w:jc w:val="center"/>
            </w:pPr>
            <w:r>
              <w:rPr>
                <w:rFonts w:ascii="Arial" w:cs="Arial" w:eastAsia="Arial" w:hAnsi="Arial"/>
                <w:b w:val="false"/>
                <w:bCs w:val="false"/>
                <w:color w:val="0C447C"/>
                <w:sz w:val="20"/>
                <w:szCs w:val="20"/>
              </w:rPr>
              <w:t xml:space="preserve">32x</w:t>
            </w:r>
          </w:p>
        </w:tc>
        <w:tc>
          <w:tcPr>
            <w:tcW w:type="dxa" w:w="1337"/>
            <w:tcBorders>
              <w:top w:val="single" w:color="CCCCCC" w:sz="1"/>
              <w:left w:val="single" w:color="CCCCCC" w:sz="1"/>
              <w:bottom w:val="single" w:color="CCCCCC" w:sz="1"/>
              <w:right w:val="single" w:color="CCCCCC" w:sz="1"/>
            </w:tcBorders>
            <w:shd w:fill="F4F3EF" w:val="clear"/>
            <w:tcMar>
              <w:top w:type="dxa" w:w="60"/>
              <w:left w:type="dxa" w:w="60"/>
              <w:bottom w:type="dxa" w:w="60"/>
              <w:right w:type="dxa" w:w="60"/>
            </w:tcMar>
          </w:tcPr>
          <w:p>
            <w:pPr>
              <w:jc w:val="center"/>
            </w:pPr>
            <w:r>
              <w:rPr>
                <w:rFonts w:ascii="Arial" w:cs="Arial" w:eastAsia="Arial" w:hAnsi="Arial"/>
                <w:b w:val="false"/>
                <w:bCs w:val="false"/>
                <w:color w:val="0C447C"/>
                <w:sz w:val="20"/>
                <w:szCs w:val="20"/>
              </w:rPr>
              <w:t xml:space="preserve">35x</w:t>
            </w:r>
          </w:p>
        </w:tc>
        <w:tc>
          <w:tcPr>
            <w:tcW w:type="dxa" w:w="1337"/>
            <w:tcBorders>
              <w:top w:val="single" w:color="CCCCCC" w:sz="1"/>
              <w:left w:val="single" w:color="CCCCCC" w:sz="1"/>
              <w:bottom w:val="single" w:color="CCCCCC" w:sz="1"/>
              <w:right w:val="single" w:color="CCCCCC" w:sz="1"/>
            </w:tcBorders>
            <w:shd w:fill="F4F3EF" w:val="clear"/>
            <w:tcMar>
              <w:top w:type="dxa" w:w="60"/>
              <w:left w:type="dxa" w:w="60"/>
              <w:bottom w:type="dxa" w:w="60"/>
              <w:right w:type="dxa" w:w="60"/>
            </w:tcMar>
          </w:tcPr>
          <w:p>
            <w:pPr>
              <w:jc w:val="center"/>
            </w:pPr>
            <w:r>
              <w:rPr>
                <w:rFonts w:ascii="Arial" w:cs="Arial" w:eastAsia="Arial" w:hAnsi="Arial"/>
                <w:b w:val="false"/>
                <w:bCs w:val="false"/>
                <w:color w:val="0C447C"/>
                <w:sz w:val="20"/>
                <w:szCs w:val="20"/>
              </w:rPr>
              <w:t xml:space="preserve">28x</w:t>
            </w:r>
          </w:p>
        </w:tc>
        <w:tc>
          <w:tcPr>
            <w:tcW w:type="dxa" w:w="1337"/>
            <w:tcBorders>
              <w:top w:val="single" w:color="CCCCCC" w:sz="1"/>
              <w:left w:val="single" w:color="CCCCCC" w:sz="1"/>
              <w:bottom w:val="single" w:color="CCCCCC" w:sz="1"/>
              <w:right w:val="single" w:color="CCCCCC" w:sz="1"/>
            </w:tcBorders>
            <w:shd w:fill="F4F3EF" w:val="clear"/>
            <w:tcMar>
              <w:top w:type="dxa" w:w="60"/>
              <w:left w:type="dxa" w:w="60"/>
              <w:bottom w:type="dxa" w:w="60"/>
              <w:right w:type="dxa" w:w="60"/>
            </w:tcMar>
          </w:tcPr>
          <w:p>
            <w:pPr>
              <w:jc w:val="center"/>
            </w:pPr>
            <w:r>
              <w:rPr>
                <w:rFonts w:ascii="Arial" w:cs="Arial" w:eastAsia="Arial" w:hAnsi="Arial"/>
                <w:b w:val="false"/>
                <w:bCs w:val="false"/>
                <w:color w:val="0C447C"/>
                <w:sz w:val="20"/>
                <w:szCs w:val="20"/>
              </w:rPr>
              <w:t xml:space="preserve">26x</w:t>
            </w:r>
          </w:p>
        </w:tc>
        <w:tc>
          <w:tcPr>
            <w:tcW w:type="dxa" w:w="1337"/>
            <w:tcBorders>
              <w:top w:val="single" w:color="CCCCCC" w:sz="1"/>
              <w:left w:val="single" w:color="CCCCCC" w:sz="1"/>
              <w:bottom w:val="single" w:color="CCCCCC" w:sz="1"/>
              <w:right w:val="single" w:color="CCCCCC" w:sz="1"/>
            </w:tcBorders>
            <w:shd w:fill="F4F3EF" w:val="clear"/>
            <w:tcMar>
              <w:top w:type="dxa" w:w="60"/>
              <w:left w:type="dxa" w:w="60"/>
              <w:bottom w:type="dxa" w:w="60"/>
              <w:right w:type="dxa" w:w="60"/>
            </w:tcMar>
          </w:tcPr>
          <w:p>
            <w:pPr>
              <w:jc w:val="center"/>
            </w:pPr>
            <w:r>
              <w:rPr>
                <w:rFonts w:ascii="Arial" w:cs="Arial" w:eastAsia="Arial" w:hAnsi="Arial"/>
                <w:b w:val="false"/>
                <w:bCs w:val="false"/>
                <w:color w:val="0C447C"/>
                <w:sz w:val="20"/>
                <w:szCs w:val="20"/>
              </w:rPr>
              <w:t xml:space="preserve">22x</w:t>
            </w:r>
          </w:p>
        </w:tc>
        <w:tc>
          <w:tcPr>
            <w:tcW w:type="dxa" w:w="1337"/>
            <w:tcBorders>
              <w:top w:val="single" w:color="CCCCCC" w:sz="1"/>
              <w:left w:val="single" w:color="CCCCCC" w:sz="1"/>
              <w:bottom w:val="single" w:color="CCCCCC" w:sz="1"/>
              <w:right w:val="single" w:color="CCCCCC" w:sz="1"/>
            </w:tcBorders>
            <w:shd w:fill="E4F1D5" w:val="clear"/>
            <w:tcMar>
              <w:top w:type="dxa" w:w="60"/>
              <w:left w:type="dxa" w:w="60"/>
              <w:bottom w:type="dxa" w:w="60"/>
              <w:right w:type="dxa" w:w="60"/>
            </w:tcMar>
          </w:tcPr>
          <w:p>
            <w:pPr>
              <w:jc w:val="center"/>
            </w:pPr>
            <w:r>
              <w:rPr>
                <w:rFonts w:ascii="Arial" w:cs="Arial" w:eastAsia="Arial" w:hAnsi="Arial"/>
                <w:b/>
                <w:bCs/>
                <w:color w:val="3B6D11"/>
                <w:sz w:val="20"/>
                <w:szCs w:val="20"/>
              </w:rPr>
              <w:t xml:space="preserve">15.6x</w:t>
            </w:r>
          </w:p>
        </w:tc>
      </w:tr>
    </w:tbl>
    <w:p>
      <w:pPr>
        <w:spacing w:after="0" w:before="200"/>
      </w:pPr>
    </w:p>
    <w:p>
      <w:pPr>
        <w:pBdr>
          <w:left w:val="single" w:color="185FA5" w:sz="18" w:space="8"/>
        </w:pBdr>
        <w:shd w:fill="EEF5FC" w:val="clear"/>
        <w:spacing w:after="120" w:before="280"/>
        <w:ind w:left="120"/>
      </w:pPr>
      <w:r>
        <w:rPr>
          <w:rFonts w:ascii="Arial" w:cs="Arial" w:eastAsia="Arial" w:hAnsi="Arial"/>
          <w:b/>
          <w:bCs/>
          <w:color w:val="0C447C"/>
          <w:sz w:val="26"/>
          <w:szCs w:val="26"/>
        </w:rPr>
        <w:t xml:space="preserve">3. Growth Analysis</w:t>
      </w:r>
    </w:p>
    <w:p>
      <w:pPr>
        <w:spacing w:after="0" w:before="60"/>
      </w:pPr>
    </w:p>
    <w:p>
      <w:pPr>
        <w:spacing w:after="80" w:before="200"/>
      </w:pPr>
      <w:r>
        <w:rPr>
          <w:rFonts w:ascii="Arial" w:cs="Arial" w:eastAsia="Arial" w:hAnsi="Arial"/>
          <w:b/>
          <w:bCs/>
          <w:color w:val="185FA5"/>
          <w:sz w:val="22"/>
          <w:szCs w:val="22"/>
        </w:rPr>
        <w:t xml:space="preserve">Revenue &amp; Profit Trend (FY19–FY26, ₹ Crore)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1150"/>
        <w:gridCol w:w="1150"/>
        <w:gridCol w:w="1150"/>
        <w:gridCol w:w="1150"/>
        <w:gridCol w:w="1150"/>
        <w:gridCol w:w="1155"/>
        <w:gridCol w:w="1155"/>
      </w:tblGrid>
      <w:tr>
        <w:tc>
          <w:tcPr>
            <w:tcW w:type="dxa" w:w="1300"/>
            <w:tcBorders>
              <w:top w:val="single" w:color="CCCCCC" w:sz="1"/>
              <w:left w:val="single" w:color="CCCCCC" w:sz="1"/>
              <w:bottom w:val="single" w:color="CCCCCC" w:sz="1"/>
              <w:right w:val="single" w:color="CCCCCC" w:sz="1"/>
            </w:tcBorders>
            <w:shd w:fill="0C447C" w:val="clear"/>
            <w:tcMar>
              <w:top w:type="dxa" w:w="50"/>
              <w:left w:type="dxa" w:w="80"/>
              <w:bottom w:type="dxa" w:w="50"/>
              <w:right w:type="dxa" w:w="80"/>
            </w:tcMar>
          </w:tcPr>
          <w:p>
            <w:pPr>
              <w:jc w:val="center"/>
            </w:pPr>
            <w:r>
              <w:rPr>
                <w:rFonts w:ascii="Arial" w:cs="Arial" w:eastAsia="Arial" w:hAnsi="Arial"/>
                <w:b/>
                <w:bCs/>
                <w:color w:val="FFFFFF"/>
                <w:sz w:val="17"/>
                <w:szCs w:val="17"/>
              </w:rPr>
              <w:t xml:space="preserve">Year</w:t>
            </w:r>
          </w:p>
        </w:tc>
        <w:tc>
          <w:tcPr>
            <w:tcW w:type="dxa" w:w="1150"/>
            <w:tcBorders>
              <w:top w:val="single" w:color="CCCCCC" w:sz="1"/>
              <w:left w:val="single" w:color="CCCCCC" w:sz="1"/>
              <w:bottom w:val="single" w:color="CCCCCC" w:sz="1"/>
              <w:right w:val="single" w:color="CCCCCC" w:sz="1"/>
            </w:tcBorders>
            <w:shd w:fill="0C447C" w:val="clear"/>
            <w:tcMar>
              <w:top w:type="dxa" w:w="50"/>
              <w:left w:type="dxa" w:w="80"/>
              <w:bottom w:type="dxa" w:w="50"/>
              <w:right w:type="dxa" w:w="80"/>
            </w:tcMar>
          </w:tcPr>
          <w:p>
            <w:pPr>
              <w:jc w:val="center"/>
            </w:pPr>
            <w:r>
              <w:rPr>
                <w:rFonts w:ascii="Arial" w:cs="Arial" w:eastAsia="Arial" w:hAnsi="Arial"/>
                <w:b/>
                <w:bCs/>
                <w:color w:val="FFFFFF"/>
                <w:sz w:val="17"/>
                <w:szCs w:val="17"/>
              </w:rPr>
              <w:t xml:space="preserve">FY19</w:t>
            </w:r>
          </w:p>
        </w:tc>
        <w:tc>
          <w:tcPr>
            <w:tcW w:type="dxa" w:w="1150"/>
            <w:tcBorders>
              <w:top w:val="single" w:color="CCCCCC" w:sz="1"/>
              <w:left w:val="single" w:color="CCCCCC" w:sz="1"/>
              <w:bottom w:val="single" w:color="CCCCCC" w:sz="1"/>
              <w:right w:val="single" w:color="CCCCCC" w:sz="1"/>
            </w:tcBorders>
            <w:shd w:fill="0C447C" w:val="clear"/>
            <w:tcMar>
              <w:top w:type="dxa" w:w="50"/>
              <w:left w:type="dxa" w:w="80"/>
              <w:bottom w:type="dxa" w:w="50"/>
              <w:right w:type="dxa" w:w="80"/>
            </w:tcMar>
          </w:tcPr>
          <w:p>
            <w:pPr>
              <w:jc w:val="center"/>
            </w:pPr>
            <w:r>
              <w:rPr>
                <w:rFonts w:ascii="Arial" w:cs="Arial" w:eastAsia="Arial" w:hAnsi="Arial"/>
                <w:b/>
                <w:bCs/>
                <w:color w:val="FFFFFF"/>
                <w:sz w:val="17"/>
                <w:szCs w:val="17"/>
              </w:rPr>
              <w:t xml:space="preserve">FY20</w:t>
            </w:r>
          </w:p>
        </w:tc>
        <w:tc>
          <w:tcPr>
            <w:tcW w:type="dxa" w:w="1150"/>
            <w:tcBorders>
              <w:top w:val="single" w:color="CCCCCC" w:sz="1"/>
              <w:left w:val="single" w:color="CCCCCC" w:sz="1"/>
              <w:bottom w:val="single" w:color="CCCCCC" w:sz="1"/>
              <w:right w:val="single" w:color="CCCCCC" w:sz="1"/>
            </w:tcBorders>
            <w:shd w:fill="0C447C" w:val="clear"/>
            <w:tcMar>
              <w:top w:type="dxa" w:w="50"/>
              <w:left w:type="dxa" w:w="80"/>
              <w:bottom w:type="dxa" w:w="50"/>
              <w:right w:type="dxa" w:w="80"/>
            </w:tcMar>
          </w:tcPr>
          <w:p>
            <w:pPr>
              <w:jc w:val="center"/>
            </w:pPr>
            <w:r>
              <w:rPr>
                <w:rFonts w:ascii="Arial" w:cs="Arial" w:eastAsia="Arial" w:hAnsi="Arial"/>
                <w:b/>
                <w:bCs/>
                <w:color w:val="FFFFFF"/>
                <w:sz w:val="17"/>
                <w:szCs w:val="17"/>
              </w:rPr>
              <w:t xml:space="preserve">FY21</w:t>
            </w:r>
          </w:p>
        </w:tc>
        <w:tc>
          <w:tcPr>
            <w:tcW w:type="dxa" w:w="1150"/>
            <w:tcBorders>
              <w:top w:val="single" w:color="CCCCCC" w:sz="1"/>
              <w:left w:val="single" w:color="CCCCCC" w:sz="1"/>
              <w:bottom w:val="single" w:color="CCCCCC" w:sz="1"/>
              <w:right w:val="single" w:color="CCCCCC" w:sz="1"/>
            </w:tcBorders>
            <w:shd w:fill="0C447C" w:val="clear"/>
            <w:tcMar>
              <w:top w:type="dxa" w:w="50"/>
              <w:left w:type="dxa" w:w="80"/>
              <w:bottom w:type="dxa" w:w="50"/>
              <w:right w:type="dxa" w:w="80"/>
            </w:tcMar>
          </w:tcPr>
          <w:p>
            <w:pPr>
              <w:jc w:val="center"/>
            </w:pPr>
            <w:r>
              <w:rPr>
                <w:rFonts w:ascii="Arial" w:cs="Arial" w:eastAsia="Arial" w:hAnsi="Arial"/>
                <w:b/>
                <w:bCs/>
                <w:color w:val="FFFFFF"/>
                <w:sz w:val="17"/>
                <w:szCs w:val="17"/>
              </w:rPr>
              <w:t xml:space="preserve">FY22</w:t>
            </w:r>
          </w:p>
        </w:tc>
        <w:tc>
          <w:tcPr>
            <w:tcW w:type="dxa" w:w="1150"/>
            <w:tcBorders>
              <w:top w:val="single" w:color="CCCCCC" w:sz="1"/>
              <w:left w:val="single" w:color="CCCCCC" w:sz="1"/>
              <w:bottom w:val="single" w:color="CCCCCC" w:sz="1"/>
              <w:right w:val="single" w:color="CCCCCC" w:sz="1"/>
            </w:tcBorders>
            <w:shd w:fill="0C447C" w:val="clear"/>
            <w:tcMar>
              <w:top w:type="dxa" w:w="50"/>
              <w:left w:type="dxa" w:w="80"/>
              <w:bottom w:type="dxa" w:w="50"/>
              <w:right w:type="dxa" w:w="80"/>
            </w:tcMar>
          </w:tcPr>
          <w:p>
            <w:pPr>
              <w:jc w:val="center"/>
            </w:pPr>
            <w:r>
              <w:rPr>
                <w:rFonts w:ascii="Arial" w:cs="Arial" w:eastAsia="Arial" w:hAnsi="Arial"/>
                <w:b/>
                <w:bCs/>
                <w:color w:val="FFFFFF"/>
                <w:sz w:val="17"/>
                <w:szCs w:val="17"/>
              </w:rPr>
              <w:t xml:space="preserve">FY23</w:t>
            </w:r>
          </w:p>
        </w:tc>
        <w:tc>
          <w:tcPr>
            <w:tcW w:type="dxa" w:w="1150"/>
            <w:tcBorders>
              <w:top w:val="single" w:color="CCCCCC" w:sz="1"/>
              <w:left w:val="single" w:color="CCCCCC" w:sz="1"/>
              <w:bottom w:val="single" w:color="CCCCCC" w:sz="1"/>
              <w:right w:val="single" w:color="CCCCCC" w:sz="1"/>
            </w:tcBorders>
            <w:shd w:fill="0C447C" w:val="clear"/>
            <w:tcMar>
              <w:top w:type="dxa" w:w="50"/>
              <w:left w:type="dxa" w:w="80"/>
              <w:bottom w:type="dxa" w:w="50"/>
              <w:right w:type="dxa" w:w="80"/>
            </w:tcMar>
          </w:tcPr>
          <w:p>
            <w:pPr>
              <w:jc w:val="center"/>
            </w:pPr>
            <w:r>
              <w:rPr>
                <w:rFonts w:ascii="Arial" w:cs="Arial" w:eastAsia="Arial" w:hAnsi="Arial"/>
                <w:b/>
                <w:bCs/>
                <w:color w:val="FFFFFF"/>
                <w:sz w:val="17"/>
                <w:szCs w:val="17"/>
              </w:rPr>
              <w:t xml:space="preserve">FY24</w:t>
            </w:r>
          </w:p>
        </w:tc>
        <w:tc>
          <w:tcPr>
            <w:tcW w:type="dxa" w:w="1150"/>
            <w:tcBorders>
              <w:top w:val="single" w:color="CCCCCC" w:sz="1"/>
              <w:left w:val="single" w:color="CCCCCC" w:sz="1"/>
              <w:bottom w:val="single" w:color="CCCCCC" w:sz="1"/>
              <w:right w:val="single" w:color="CCCCCC" w:sz="1"/>
            </w:tcBorders>
            <w:shd w:fill="0C447C" w:val="clear"/>
            <w:tcMar>
              <w:top w:type="dxa" w:w="50"/>
              <w:left w:type="dxa" w:w="80"/>
              <w:bottom w:type="dxa" w:w="50"/>
              <w:right w:type="dxa" w:w="80"/>
            </w:tcMar>
          </w:tcPr>
          <w:p>
            <w:pPr>
              <w:jc w:val="center"/>
            </w:pPr>
            <w:r>
              <w:rPr>
                <w:rFonts w:ascii="Arial" w:cs="Arial" w:eastAsia="Arial" w:hAnsi="Arial"/>
                <w:b/>
                <w:bCs/>
                <w:color w:val="FFFFFF"/>
                <w:sz w:val="17"/>
                <w:szCs w:val="17"/>
              </w:rPr>
              <w:t xml:space="preserve">FY25</w:t>
            </w:r>
          </w:p>
        </w:tc>
      </w:tr>
      <w:tr>
        <w:tc>
          <w:tcPr>
            <w:tcW w:type="dxa" w:w="1300"/>
            <w:tcBorders>
              <w:top w:val="single" w:color="CCCCCC" w:sz="1"/>
              <w:left w:val="single" w:color="CCCCCC" w:sz="1"/>
              <w:bottom w:val="single" w:color="CCCCCC" w:sz="1"/>
              <w:right w:val="single" w:color="CCCCCC" w:sz="1"/>
            </w:tcBorders>
            <w:shd w:fill="D6E8F8" w:val="clear"/>
            <w:tcMar>
              <w:top w:type="dxa" w:w="50"/>
              <w:left w:type="dxa" w:w="80"/>
              <w:bottom w:type="dxa" w:w="50"/>
              <w:right w:type="dxa" w:w="80"/>
            </w:tcMar>
          </w:tcPr>
          <w:p>
            <w:pPr>
              <w:jc w:val="center"/>
            </w:pPr>
            <w:r>
              <w:rPr>
                <w:rFonts w:ascii="Arial" w:cs="Arial" w:eastAsia="Arial" w:hAnsi="Arial"/>
                <w:b/>
                <w:bCs/>
                <w:color w:val="0C447C"/>
                <w:sz w:val="17"/>
                <w:szCs w:val="17"/>
              </w:rPr>
              <w:t xml:space="preserve">Revenue</w:t>
            </w:r>
          </w:p>
        </w:tc>
        <w:tc>
          <w:tcPr>
            <w:tcW w:type="dxa" w:w="1150"/>
            <w:tcBorders>
              <w:top w:val="single" w:color="CCCCCC" w:sz="1"/>
              <w:left w:val="single" w:color="CCCCCC" w:sz="1"/>
              <w:bottom w:val="single" w:color="CCCCCC" w:sz="1"/>
              <w:right w:val="single" w:color="CCCCCC" w:sz="1"/>
            </w:tcBorders>
            <w:shd w:fill="D6E8F8" w:val="clear"/>
            <w:tcMar>
              <w:top w:type="dxa" w:w="50"/>
              <w:left w:type="dxa" w:w="80"/>
              <w:bottom w:type="dxa" w:w="50"/>
              <w:right w:type="dxa" w:w="80"/>
            </w:tcMar>
          </w:tcPr>
          <w:p>
            <w:pPr>
              <w:jc w:val="center"/>
            </w:pPr>
            <w:r>
              <w:rPr>
                <w:rFonts w:ascii="Arial" w:cs="Arial" w:eastAsia="Arial" w:hAnsi="Arial"/>
                <w:b w:val="false"/>
                <w:bCs w:val="false"/>
                <w:color w:val="0C447C"/>
                <w:sz w:val="17"/>
                <w:szCs w:val="17"/>
              </w:rPr>
              <w:t xml:space="preserve">1,46,463</w:t>
            </w:r>
          </w:p>
        </w:tc>
        <w:tc>
          <w:tcPr>
            <w:tcW w:type="dxa" w:w="1150"/>
            <w:tcBorders>
              <w:top w:val="single" w:color="CCCCCC" w:sz="1"/>
              <w:left w:val="single" w:color="CCCCCC" w:sz="1"/>
              <w:bottom w:val="single" w:color="CCCCCC" w:sz="1"/>
              <w:right w:val="single" w:color="CCCCCC" w:sz="1"/>
            </w:tcBorders>
            <w:shd w:fill="D6E8F8" w:val="clear"/>
            <w:tcMar>
              <w:top w:type="dxa" w:w="50"/>
              <w:left w:type="dxa" w:w="80"/>
              <w:bottom w:type="dxa" w:w="50"/>
              <w:right w:type="dxa" w:w="80"/>
            </w:tcMar>
          </w:tcPr>
          <w:p>
            <w:pPr>
              <w:jc w:val="center"/>
            </w:pPr>
            <w:r>
              <w:rPr>
                <w:rFonts w:ascii="Arial" w:cs="Arial" w:eastAsia="Arial" w:hAnsi="Arial"/>
                <w:b w:val="false"/>
                <w:bCs w:val="false"/>
                <w:color w:val="0C447C"/>
                <w:sz w:val="17"/>
                <w:szCs w:val="17"/>
              </w:rPr>
              <w:t xml:space="preserve">1,56,949</w:t>
            </w:r>
          </w:p>
        </w:tc>
        <w:tc>
          <w:tcPr>
            <w:tcW w:type="dxa" w:w="1150"/>
            <w:tcBorders>
              <w:top w:val="single" w:color="CCCCCC" w:sz="1"/>
              <w:left w:val="single" w:color="CCCCCC" w:sz="1"/>
              <w:bottom w:val="single" w:color="CCCCCC" w:sz="1"/>
              <w:right w:val="single" w:color="CCCCCC" w:sz="1"/>
            </w:tcBorders>
            <w:shd w:fill="D6E8F8" w:val="clear"/>
            <w:tcMar>
              <w:top w:type="dxa" w:w="50"/>
              <w:left w:type="dxa" w:w="80"/>
              <w:bottom w:type="dxa" w:w="50"/>
              <w:right w:type="dxa" w:w="80"/>
            </w:tcMar>
          </w:tcPr>
          <w:p>
            <w:pPr>
              <w:jc w:val="center"/>
            </w:pPr>
            <w:r>
              <w:rPr>
                <w:rFonts w:ascii="Arial" w:cs="Arial" w:eastAsia="Arial" w:hAnsi="Arial"/>
                <w:b w:val="false"/>
                <w:bCs w:val="false"/>
                <w:color w:val="0C447C"/>
                <w:sz w:val="17"/>
                <w:szCs w:val="17"/>
              </w:rPr>
              <w:t xml:space="preserve">1,64,177</w:t>
            </w:r>
          </w:p>
        </w:tc>
        <w:tc>
          <w:tcPr>
            <w:tcW w:type="dxa" w:w="1150"/>
            <w:tcBorders>
              <w:top w:val="single" w:color="CCCCCC" w:sz="1"/>
              <w:left w:val="single" w:color="CCCCCC" w:sz="1"/>
              <w:bottom w:val="single" w:color="CCCCCC" w:sz="1"/>
              <w:right w:val="single" w:color="CCCCCC" w:sz="1"/>
            </w:tcBorders>
            <w:shd w:fill="D6E8F8" w:val="clear"/>
            <w:tcMar>
              <w:top w:type="dxa" w:w="50"/>
              <w:left w:type="dxa" w:w="80"/>
              <w:bottom w:type="dxa" w:w="50"/>
              <w:right w:type="dxa" w:w="80"/>
            </w:tcMar>
          </w:tcPr>
          <w:p>
            <w:pPr>
              <w:jc w:val="center"/>
            </w:pPr>
            <w:r>
              <w:rPr>
                <w:rFonts w:ascii="Arial" w:cs="Arial" w:eastAsia="Arial" w:hAnsi="Arial"/>
                <w:b w:val="false"/>
                <w:bCs w:val="false"/>
                <w:color w:val="0C447C"/>
                <w:sz w:val="17"/>
                <w:szCs w:val="17"/>
              </w:rPr>
              <w:t xml:space="preserve">1,91,754</w:t>
            </w:r>
          </w:p>
        </w:tc>
        <w:tc>
          <w:tcPr>
            <w:tcW w:type="dxa" w:w="1150"/>
            <w:tcBorders>
              <w:top w:val="single" w:color="CCCCCC" w:sz="1"/>
              <w:left w:val="single" w:color="CCCCCC" w:sz="1"/>
              <w:bottom w:val="single" w:color="CCCCCC" w:sz="1"/>
              <w:right w:val="single" w:color="CCCCCC" w:sz="1"/>
            </w:tcBorders>
            <w:shd w:fill="D6E8F8" w:val="clear"/>
            <w:tcMar>
              <w:top w:type="dxa" w:w="50"/>
              <w:left w:type="dxa" w:w="80"/>
              <w:bottom w:type="dxa" w:w="50"/>
              <w:right w:type="dxa" w:w="80"/>
            </w:tcMar>
          </w:tcPr>
          <w:p>
            <w:pPr>
              <w:jc w:val="center"/>
            </w:pPr>
            <w:r>
              <w:rPr>
                <w:rFonts w:ascii="Arial" w:cs="Arial" w:eastAsia="Arial" w:hAnsi="Arial"/>
                <w:b w:val="false"/>
                <w:bCs w:val="false"/>
                <w:color w:val="0C447C"/>
                <w:sz w:val="17"/>
                <w:szCs w:val="17"/>
              </w:rPr>
              <w:t xml:space="preserve">2,25,458</w:t>
            </w:r>
          </w:p>
        </w:tc>
        <w:tc>
          <w:tcPr>
            <w:tcW w:type="dxa" w:w="1150"/>
            <w:tcBorders>
              <w:top w:val="single" w:color="CCCCCC" w:sz="1"/>
              <w:left w:val="single" w:color="CCCCCC" w:sz="1"/>
              <w:bottom w:val="single" w:color="CCCCCC" w:sz="1"/>
              <w:right w:val="single" w:color="CCCCCC" w:sz="1"/>
            </w:tcBorders>
            <w:shd w:fill="D6E8F8" w:val="clear"/>
            <w:tcMar>
              <w:top w:type="dxa" w:w="50"/>
              <w:left w:type="dxa" w:w="80"/>
              <w:bottom w:type="dxa" w:w="50"/>
              <w:right w:type="dxa" w:w="80"/>
            </w:tcMar>
          </w:tcPr>
          <w:p>
            <w:pPr>
              <w:jc w:val="center"/>
            </w:pPr>
            <w:r>
              <w:rPr>
                <w:rFonts w:ascii="Arial" w:cs="Arial" w:eastAsia="Arial" w:hAnsi="Arial"/>
                <w:b w:val="false"/>
                <w:bCs w:val="false"/>
                <w:color w:val="0C447C"/>
                <w:sz w:val="17"/>
                <w:szCs w:val="17"/>
              </w:rPr>
              <w:t xml:space="preserve">2,40,893</w:t>
            </w:r>
          </w:p>
        </w:tc>
        <w:tc>
          <w:tcPr>
            <w:tcW w:type="dxa" w:w="1150"/>
            <w:tcBorders>
              <w:top w:val="single" w:color="CCCCCC" w:sz="1"/>
              <w:left w:val="single" w:color="CCCCCC" w:sz="1"/>
              <w:bottom w:val="single" w:color="CCCCCC" w:sz="1"/>
              <w:right w:val="single" w:color="CCCCCC" w:sz="1"/>
            </w:tcBorders>
            <w:shd w:fill="D6E8F8" w:val="clear"/>
            <w:tcMar>
              <w:top w:type="dxa" w:w="50"/>
              <w:left w:type="dxa" w:w="80"/>
              <w:bottom w:type="dxa" w:w="50"/>
              <w:right w:type="dxa" w:w="80"/>
            </w:tcMar>
          </w:tcPr>
          <w:p>
            <w:pPr>
              <w:jc w:val="center"/>
            </w:pPr>
            <w:r>
              <w:rPr>
                <w:rFonts w:ascii="Arial" w:cs="Arial" w:eastAsia="Arial" w:hAnsi="Arial"/>
                <w:b w:val="false"/>
                <w:bCs w:val="false"/>
                <w:color w:val="0C447C"/>
                <w:sz w:val="17"/>
                <w:szCs w:val="17"/>
              </w:rPr>
              <w:t xml:space="preserve">2,55,324</w:t>
            </w:r>
          </w:p>
        </w:tc>
        <w:tc>
          <w:tcPr>
            <w:tcW w:type="dxa" w:w="1150"/>
            <w:tcBorders>
              <w:top w:val="single" w:color="CCCCCC" w:sz="1"/>
              <w:left w:val="single" w:color="CCCCCC" w:sz="1"/>
              <w:bottom w:val="single" w:color="CCCCCC" w:sz="1"/>
              <w:right w:val="single" w:color="CCCCCC" w:sz="1"/>
            </w:tcBorders>
            <w:shd w:fill="D6E8F8" w:val="clear"/>
            <w:tcMar>
              <w:top w:type="dxa" w:w="50"/>
              <w:left w:type="dxa" w:w="80"/>
              <w:bottom w:type="dxa" w:w="50"/>
              <w:right w:type="dxa" w:w="80"/>
            </w:tcMar>
          </w:tcPr>
          <w:p>
            <w:pPr>
              <w:jc w:val="center"/>
            </w:pPr>
            <w:r>
              <w:rPr>
                <w:rFonts w:ascii="Arial" w:cs="Arial" w:eastAsia="Arial" w:hAnsi="Arial"/>
                <w:b w:val="false"/>
                <w:bCs w:val="false"/>
                <w:color w:val="0C447C"/>
                <w:sz w:val="17"/>
                <w:szCs w:val="17"/>
              </w:rPr>
              <w:t xml:space="preserve">2,67,021</w:t>
            </w:r>
          </w:p>
        </w:tc>
      </w:tr>
      <w:tr>
        <w:tc>
          <w:tcPr>
            <w:tcW w:type="dxa" w:w="1300"/>
            <w:tcBorders>
              <w:top w:val="single" w:color="CCCCCC" w:sz="1"/>
              <w:left w:val="single" w:color="CCCCCC" w:sz="1"/>
              <w:bottom w:val="single" w:color="CCCCCC" w:sz="1"/>
              <w:right w:val="single" w:color="CCCCCC" w:sz="1"/>
            </w:tcBorders>
            <w:shd w:fill="E4F1D5" w:val="clear"/>
            <w:tcMar>
              <w:top w:type="dxa" w:w="50"/>
              <w:left w:type="dxa" w:w="80"/>
              <w:bottom w:type="dxa" w:w="50"/>
              <w:right w:type="dxa" w:w="80"/>
            </w:tcMar>
          </w:tcPr>
          <w:p>
            <w:pPr>
              <w:jc w:val="center"/>
            </w:pPr>
            <w:r>
              <w:rPr>
                <w:rFonts w:ascii="Arial" w:cs="Arial" w:eastAsia="Arial" w:hAnsi="Arial"/>
                <w:b/>
                <w:bCs/>
                <w:color w:val="3B6D11"/>
                <w:sz w:val="17"/>
                <w:szCs w:val="17"/>
              </w:rPr>
              <w:t xml:space="preserve">Net Profit</w:t>
            </w:r>
          </w:p>
        </w:tc>
        <w:tc>
          <w:tcPr>
            <w:tcW w:type="dxa" w:w="1150"/>
            <w:tcBorders>
              <w:top w:val="single" w:color="CCCCCC" w:sz="1"/>
              <w:left w:val="single" w:color="CCCCCC" w:sz="1"/>
              <w:bottom w:val="single" w:color="CCCCCC" w:sz="1"/>
              <w:right w:val="single" w:color="CCCCCC" w:sz="1"/>
            </w:tcBorders>
            <w:shd w:fill="E4F1D5" w:val="clear"/>
            <w:tcMar>
              <w:top w:type="dxa" w:w="50"/>
              <w:left w:type="dxa" w:w="80"/>
              <w:bottom w:type="dxa" w:w="50"/>
              <w:right w:type="dxa" w:w="80"/>
            </w:tcMar>
          </w:tcPr>
          <w:p>
            <w:pPr>
              <w:jc w:val="center"/>
            </w:pPr>
            <w:r>
              <w:rPr>
                <w:rFonts w:ascii="Arial" w:cs="Arial" w:eastAsia="Arial" w:hAnsi="Arial"/>
                <w:b w:val="false"/>
                <w:bCs w:val="false"/>
                <w:color w:val="3B6D11"/>
                <w:sz w:val="17"/>
                <w:szCs w:val="17"/>
              </w:rPr>
              <w:t xml:space="preserve">31,562</w:t>
            </w:r>
          </w:p>
        </w:tc>
        <w:tc>
          <w:tcPr>
            <w:tcW w:type="dxa" w:w="1150"/>
            <w:tcBorders>
              <w:top w:val="single" w:color="CCCCCC" w:sz="1"/>
              <w:left w:val="single" w:color="CCCCCC" w:sz="1"/>
              <w:bottom w:val="single" w:color="CCCCCC" w:sz="1"/>
              <w:right w:val="single" w:color="CCCCCC" w:sz="1"/>
            </w:tcBorders>
            <w:shd w:fill="E4F1D5" w:val="clear"/>
            <w:tcMar>
              <w:top w:type="dxa" w:w="50"/>
              <w:left w:type="dxa" w:w="80"/>
              <w:bottom w:type="dxa" w:w="50"/>
              <w:right w:type="dxa" w:w="80"/>
            </w:tcMar>
          </w:tcPr>
          <w:p>
            <w:pPr>
              <w:jc w:val="center"/>
            </w:pPr>
            <w:r>
              <w:rPr>
                <w:rFonts w:ascii="Arial" w:cs="Arial" w:eastAsia="Arial" w:hAnsi="Arial"/>
                <w:b w:val="false"/>
                <w:bCs w:val="false"/>
                <w:color w:val="3B6D11"/>
                <w:sz w:val="17"/>
                <w:szCs w:val="17"/>
              </w:rPr>
              <w:t xml:space="preserve">32,447</w:t>
            </w:r>
          </w:p>
        </w:tc>
        <w:tc>
          <w:tcPr>
            <w:tcW w:type="dxa" w:w="1150"/>
            <w:tcBorders>
              <w:top w:val="single" w:color="CCCCCC" w:sz="1"/>
              <w:left w:val="single" w:color="CCCCCC" w:sz="1"/>
              <w:bottom w:val="single" w:color="CCCCCC" w:sz="1"/>
              <w:right w:val="single" w:color="CCCCCC" w:sz="1"/>
            </w:tcBorders>
            <w:shd w:fill="E4F1D5" w:val="clear"/>
            <w:tcMar>
              <w:top w:type="dxa" w:w="50"/>
              <w:left w:type="dxa" w:w="80"/>
              <w:bottom w:type="dxa" w:w="50"/>
              <w:right w:type="dxa" w:w="80"/>
            </w:tcMar>
          </w:tcPr>
          <w:p>
            <w:pPr>
              <w:jc w:val="center"/>
            </w:pPr>
            <w:r>
              <w:rPr>
                <w:rFonts w:ascii="Arial" w:cs="Arial" w:eastAsia="Arial" w:hAnsi="Arial"/>
                <w:b w:val="false"/>
                <w:bCs w:val="false"/>
                <w:color w:val="3B6D11"/>
                <w:sz w:val="17"/>
                <w:szCs w:val="17"/>
              </w:rPr>
              <w:t xml:space="preserve">32,562</w:t>
            </w:r>
          </w:p>
        </w:tc>
        <w:tc>
          <w:tcPr>
            <w:tcW w:type="dxa" w:w="1150"/>
            <w:tcBorders>
              <w:top w:val="single" w:color="CCCCCC" w:sz="1"/>
              <w:left w:val="single" w:color="CCCCCC" w:sz="1"/>
              <w:bottom w:val="single" w:color="CCCCCC" w:sz="1"/>
              <w:right w:val="single" w:color="CCCCCC" w:sz="1"/>
            </w:tcBorders>
            <w:shd w:fill="E4F1D5" w:val="clear"/>
            <w:tcMar>
              <w:top w:type="dxa" w:w="50"/>
              <w:left w:type="dxa" w:w="80"/>
              <w:bottom w:type="dxa" w:w="50"/>
              <w:right w:type="dxa" w:w="80"/>
            </w:tcMar>
          </w:tcPr>
          <w:p>
            <w:pPr>
              <w:jc w:val="center"/>
            </w:pPr>
            <w:r>
              <w:rPr>
                <w:rFonts w:ascii="Arial" w:cs="Arial" w:eastAsia="Arial" w:hAnsi="Arial"/>
                <w:b w:val="false"/>
                <w:bCs w:val="false"/>
                <w:color w:val="3B6D11"/>
                <w:sz w:val="17"/>
                <w:szCs w:val="17"/>
              </w:rPr>
              <w:t xml:space="preserve">38,449</w:t>
            </w:r>
          </w:p>
        </w:tc>
        <w:tc>
          <w:tcPr>
            <w:tcW w:type="dxa" w:w="1150"/>
            <w:tcBorders>
              <w:top w:val="single" w:color="CCCCCC" w:sz="1"/>
              <w:left w:val="single" w:color="CCCCCC" w:sz="1"/>
              <w:bottom w:val="single" w:color="CCCCCC" w:sz="1"/>
              <w:right w:val="single" w:color="CCCCCC" w:sz="1"/>
            </w:tcBorders>
            <w:shd w:fill="E4F1D5" w:val="clear"/>
            <w:tcMar>
              <w:top w:type="dxa" w:w="50"/>
              <w:left w:type="dxa" w:w="80"/>
              <w:bottom w:type="dxa" w:w="50"/>
              <w:right w:type="dxa" w:w="80"/>
            </w:tcMar>
          </w:tcPr>
          <w:p>
            <w:pPr>
              <w:jc w:val="center"/>
            </w:pPr>
            <w:r>
              <w:rPr>
                <w:rFonts w:ascii="Arial" w:cs="Arial" w:eastAsia="Arial" w:hAnsi="Arial"/>
                <w:b w:val="false"/>
                <w:bCs w:val="false"/>
                <w:color w:val="3B6D11"/>
                <w:sz w:val="17"/>
                <w:szCs w:val="17"/>
              </w:rPr>
              <w:t xml:space="preserve">42,303</w:t>
            </w:r>
          </w:p>
        </w:tc>
        <w:tc>
          <w:tcPr>
            <w:tcW w:type="dxa" w:w="1150"/>
            <w:tcBorders>
              <w:top w:val="single" w:color="CCCCCC" w:sz="1"/>
              <w:left w:val="single" w:color="CCCCCC" w:sz="1"/>
              <w:bottom w:val="single" w:color="CCCCCC" w:sz="1"/>
              <w:right w:val="single" w:color="CCCCCC" w:sz="1"/>
            </w:tcBorders>
            <w:shd w:fill="E4F1D5" w:val="clear"/>
            <w:tcMar>
              <w:top w:type="dxa" w:w="50"/>
              <w:left w:type="dxa" w:w="80"/>
              <w:bottom w:type="dxa" w:w="50"/>
              <w:right w:type="dxa" w:w="80"/>
            </w:tcMar>
          </w:tcPr>
          <w:p>
            <w:pPr>
              <w:jc w:val="center"/>
            </w:pPr>
            <w:r>
              <w:rPr>
                <w:rFonts w:ascii="Arial" w:cs="Arial" w:eastAsia="Arial" w:hAnsi="Arial"/>
                <w:b w:val="false"/>
                <w:bCs w:val="false"/>
                <w:color w:val="3B6D11"/>
                <w:sz w:val="17"/>
                <w:szCs w:val="17"/>
              </w:rPr>
              <w:t xml:space="preserve">46,099</w:t>
            </w:r>
          </w:p>
        </w:tc>
        <w:tc>
          <w:tcPr>
            <w:tcW w:type="dxa" w:w="1150"/>
            <w:tcBorders>
              <w:top w:val="single" w:color="CCCCCC" w:sz="1"/>
              <w:left w:val="single" w:color="CCCCCC" w:sz="1"/>
              <w:bottom w:val="single" w:color="CCCCCC" w:sz="1"/>
              <w:right w:val="single" w:color="CCCCCC" w:sz="1"/>
            </w:tcBorders>
            <w:shd w:fill="E4F1D5" w:val="clear"/>
            <w:tcMar>
              <w:top w:type="dxa" w:w="50"/>
              <w:left w:type="dxa" w:w="80"/>
              <w:bottom w:type="dxa" w:w="50"/>
              <w:right w:type="dxa" w:w="80"/>
            </w:tcMar>
          </w:tcPr>
          <w:p>
            <w:pPr>
              <w:jc w:val="center"/>
            </w:pPr>
            <w:r>
              <w:rPr>
                <w:rFonts w:ascii="Arial" w:cs="Arial" w:eastAsia="Arial" w:hAnsi="Arial"/>
                <w:b w:val="false"/>
                <w:bCs w:val="false"/>
                <w:color w:val="3B6D11"/>
                <w:sz w:val="17"/>
                <w:szCs w:val="17"/>
              </w:rPr>
              <w:t xml:space="preserve">48,797</w:t>
            </w:r>
          </w:p>
        </w:tc>
        <w:tc>
          <w:tcPr>
            <w:tcW w:type="dxa" w:w="1150"/>
            <w:tcBorders>
              <w:top w:val="single" w:color="CCCCCC" w:sz="1"/>
              <w:left w:val="single" w:color="CCCCCC" w:sz="1"/>
              <w:bottom w:val="single" w:color="CCCCCC" w:sz="1"/>
              <w:right w:val="single" w:color="CCCCCC" w:sz="1"/>
            </w:tcBorders>
            <w:shd w:fill="E4F1D5" w:val="clear"/>
            <w:tcMar>
              <w:top w:type="dxa" w:w="50"/>
              <w:left w:type="dxa" w:w="80"/>
              <w:bottom w:type="dxa" w:w="50"/>
              <w:right w:type="dxa" w:w="80"/>
            </w:tcMar>
          </w:tcPr>
          <w:p>
            <w:pPr>
              <w:jc w:val="center"/>
            </w:pPr>
            <w:r>
              <w:rPr>
                <w:rFonts w:ascii="Arial" w:cs="Arial" w:eastAsia="Arial" w:hAnsi="Arial"/>
                <w:b w:val="false"/>
                <w:bCs w:val="false"/>
                <w:color w:val="3B6D11"/>
                <w:sz w:val="17"/>
                <w:szCs w:val="17"/>
              </w:rPr>
              <w:t xml:space="preserve">49,454</w:t>
            </w:r>
          </w:p>
        </w:tc>
      </w:tr>
    </w:tbl>
    <w:p>
      <w:pPr>
        <w:spacing w:after="0" w:before="120"/>
      </w:pPr>
    </w:p>
    <w:p>
      <w:pPr>
        <w:spacing w:after="80" w:before="200"/>
      </w:pPr>
      <w:r>
        <w:rPr>
          <w:rFonts w:ascii="Arial" w:cs="Arial" w:eastAsia="Arial" w:hAnsi="Arial"/>
          <w:b/>
          <w:bCs/>
          <w:color w:val="185FA5"/>
          <w:sz w:val="22"/>
          <w:szCs w:val="22"/>
        </w:rPr>
        <w:t xml:space="preserve">Growth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nil"/>
            </w:tcBorders>
            <w:shd w:fill="F4F3EF" w:val="clear"/>
            <w:tcMar>
              <w:top w:type="dxa" w:w="60"/>
              <w:left w:type="dxa" w:w="120"/>
              <w:bottom w:type="dxa" w:w="60"/>
              <w:right w:type="dxa" w:w="80"/>
            </w:tcMar>
          </w:tcPr>
          <w:p>
            <w:r>
              <w:rPr>
                <w:rFonts w:ascii="Arial" w:cs="Arial" w:eastAsia="Arial" w:hAnsi="Arial"/>
                <w:color w:val="5F5E5A"/>
                <w:sz w:val="19"/>
                <w:szCs w:val="19"/>
              </w:rPr>
              <w:t xml:space="preserve">Revenue CAGR — 3Y</w:t>
            </w:r>
          </w:p>
        </w:tc>
        <w:tc>
          <w:tcPr>
            <w:tcW w:type="dxa" w:w="6160"/>
            <w:tcBorders>
              <w:top w:val="single" w:color="CCCCCC" w:sz="1"/>
              <w:left w:val="nil"/>
              <w:bottom w:val="single" w:color="CCCCCC" w:sz="1"/>
              <w:right w:val="single" w:color="CCCCCC" w:sz="1"/>
            </w:tcBorders>
            <w:tcMar>
              <w:top w:type="dxa" w:w="60"/>
              <w:left w:type="dxa" w:w="120"/>
              <w:bottom w:type="dxa" w:w="60"/>
              <w:right w:type="dxa" w:w="120"/>
            </w:tcMar>
          </w:tcPr>
          <w:p>
            <w:r>
              <w:rPr>
                <w:rFonts w:ascii="Arial" w:cs="Arial" w:eastAsia="Arial" w:hAnsi="Arial"/>
                <w:b/>
                <w:bCs/>
                <w:color w:val="854F0B"/>
                <w:sz w:val="19"/>
                <w:szCs w:val="19"/>
              </w:rPr>
              <w:t xml:space="preserve">~6% (Slowing)</w:t>
            </w:r>
          </w:p>
        </w:tc>
      </w:tr>
      <w:tr>
        <w:tc>
          <w:tcPr>
            <w:tcW w:type="dxa" w:w="3200"/>
            <w:tcBorders>
              <w:top w:val="single" w:color="CCCCCC" w:sz="1"/>
              <w:left w:val="single" w:color="CCCCCC" w:sz="1"/>
              <w:bottom w:val="single" w:color="CCCCCC" w:sz="1"/>
              <w:right w:val="nil"/>
            </w:tcBorders>
            <w:shd w:fill="F4F3EF" w:val="clear"/>
            <w:tcMar>
              <w:top w:type="dxa" w:w="60"/>
              <w:left w:type="dxa" w:w="120"/>
              <w:bottom w:type="dxa" w:w="60"/>
              <w:right w:type="dxa" w:w="80"/>
            </w:tcMar>
          </w:tcPr>
          <w:p>
            <w:r>
              <w:rPr>
                <w:rFonts w:ascii="Arial" w:cs="Arial" w:eastAsia="Arial" w:hAnsi="Arial"/>
                <w:color w:val="5F5E5A"/>
                <w:sz w:val="19"/>
                <w:szCs w:val="19"/>
              </w:rPr>
              <w:t xml:space="preserve">Revenue CAGR — 5Y</w:t>
            </w:r>
          </w:p>
        </w:tc>
        <w:tc>
          <w:tcPr>
            <w:tcW w:type="dxa" w:w="6160"/>
            <w:tcBorders>
              <w:top w:val="single" w:color="CCCCCC" w:sz="1"/>
              <w:left w:val="nil"/>
              <w:bottom w:val="single" w:color="CCCCCC" w:sz="1"/>
              <w:right w:val="single" w:color="CCCCCC" w:sz="1"/>
            </w:tcBorders>
            <w:tcMar>
              <w:top w:type="dxa" w:w="60"/>
              <w:left w:type="dxa" w:w="120"/>
              <w:bottom w:type="dxa" w:w="60"/>
              <w:right w:type="dxa" w:w="120"/>
            </w:tcMar>
          </w:tcPr>
          <w:p>
            <w:r>
              <w:rPr>
                <w:rFonts w:ascii="Arial" w:cs="Arial" w:eastAsia="Arial" w:hAnsi="Arial"/>
                <w:b/>
                <w:bCs/>
                <w:color w:val="185FA5"/>
                <w:sz w:val="19"/>
                <w:szCs w:val="19"/>
              </w:rPr>
              <w:t xml:space="preserve">~10% (Moderate)</w:t>
            </w:r>
          </w:p>
        </w:tc>
      </w:tr>
      <w:tr>
        <w:tc>
          <w:tcPr>
            <w:tcW w:type="dxa" w:w="3200"/>
            <w:tcBorders>
              <w:top w:val="single" w:color="CCCCCC" w:sz="1"/>
              <w:left w:val="single" w:color="CCCCCC" w:sz="1"/>
              <w:bottom w:val="single" w:color="CCCCCC" w:sz="1"/>
              <w:right w:val="nil"/>
            </w:tcBorders>
            <w:shd w:fill="F4F3EF" w:val="clear"/>
            <w:tcMar>
              <w:top w:type="dxa" w:w="60"/>
              <w:left w:type="dxa" w:w="120"/>
              <w:bottom w:type="dxa" w:w="60"/>
              <w:right w:type="dxa" w:w="80"/>
            </w:tcMar>
          </w:tcPr>
          <w:p>
            <w:r>
              <w:rPr>
                <w:rFonts w:ascii="Arial" w:cs="Arial" w:eastAsia="Arial" w:hAnsi="Arial"/>
                <w:color w:val="5F5E5A"/>
                <w:sz w:val="19"/>
                <w:szCs w:val="19"/>
              </w:rPr>
              <w:t xml:space="preserve">Revenue CAGR — 10Y</w:t>
            </w:r>
          </w:p>
        </w:tc>
        <w:tc>
          <w:tcPr>
            <w:tcW w:type="dxa" w:w="6160"/>
            <w:tcBorders>
              <w:top w:val="single" w:color="CCCCCC" w:sz="1"/>
              <w:left w:val="nil"/>
              <w:bottom w:val="single" w:color="CCCCCC" w:sz="1"/>
              <w:right w:val="single" w:color="CCCCCC" w:sz="1"/>
            </w:tcBorders>
            <w:tcMar>
              <w:top w:type="dxa" w:w="60"/>
              <w:left w:type="dxa" w:w="120"/>
              <w:bottom w:type="dxa" w:w="60"/>
              <w:right w:type="dxa" w:w="120"/>
            </w:tcMar>
          </w:tcPr>
          <w:p>
            <w:r>
              <w:rPr>
                <w:rFonts w:ascii="Arial" w:cs="Arial" w:eastAsia="Arial" w:hAnsi="Arial"/>
                <w:b/>
                <w:bCs/>
                <w:color w:val="185FA5"/>
                <w:sz w:val="19"/>
                <w:szCs w:val="19"/>
              </w:rPr>
              <w:t xml:space="preserve">~9% (Steady)</w:t>
            </w:r>
          </w:p>
        </w:tc>
      </w:tr>
      <w:tr>
        <w:tc>
          <w:tcPr>
            <w:tcW w:type="dxa" w:w="3200"/>
            <w:tcBorders>
              <w:top w:val="single" w:color="CCCCCC" w:sz="1"/>
              <w:left w:val="single" w:color="CCCCCC" w:sz="1"/>
              <w:bottom w:val="single" w:color="CCCCCC" w:sz="1"/>
              <w:right w:val="nil"/>
            </w:tcBorders>
            <w:shd w:fill="F4F3EF" w:val="clear"/>
            <w:tcMar>
              <w:top w:type="dxa" w:w="60"/>
              <w:left w:type="dxa" w:w="120"/>
              <w:bottom w:type="dxa" w:w="60"/>
              <w:right w:type="dxa" w:w="80"/>
            </w:tcMar>
          </w:tcPr>
          <w:p>
            <w:r>
              <w:rPr>
                <w:rFonts w:ascii="Arial" w:cs="Arial" w:eastAsia="Arial" w:hAnsi="Arial"/>
                <w:color w:val="5F5E5A"/>
                <w:sz w:val="19"/>
                <w:szCs w:val="19"/>
              </w:rPr>
              <w:t xml:space="preserve">PAT CAGR — 3Y</w:t>
            </w:r>
          </w:p>
        </w:tc>
        <w:tc>
          <w:tcPr>
            <w:tcW w:type="dxa" w:w="6160"/>
            <w:tcBorders>
              <w:top w:val="single" w:color="CCCCCC" w:sz="1"/>
              <w:left w:val="nil"/>
              <w:bottom w:val="single" w:color="CCCCCC" w:sz="1"/>
              <w:right w:val="single" w:color="CCCCCC" w:sz="1"/>
            </w:tcBorders>
            <w:tcMar>
              <w:top w:type="dxa" w:w="60"/>
              <w:left w:type="dxa" w:w="120"/>
              <w:bottom w:type="dxa" w:w="60"/>
              <w:right w:type="dxa" w:w="120"/>
            </w:tcMar>
          </w:tcPr>
          <w:p>
            <w:r>
              <w:rPr>
                <w:rFonts w:ascii="Arial" w:cs="Arial" w:eastAsia="Arial" w:hAnsi="Arial"/>
                <w:b/>
                <w:bCs/>
                <w:color w:val="185FA5"/>
                <w:sz w:val="19"/>
                <w:szCs w:val="19"/>
              </w:rPr>
              <w:t xml:space="preserve">~8% (Steady)</w:t>
            </w:r>
          </w:p>
        </w:tc>
      </w:tr>
      <w:tr>
        <w:tc>
          <w:tcPr>
            <w:tcW w:type="dxa" w:w="3200"/>
            <w:tcBorders>
              <w:top w:val="single" w:color="CCCCCC" w:sz="1"/>
              <w:left w:val="single" w:color="CCCCCC" w:sz="1"/>
              <w:bottom w:val="single" w:color="CCCCCC" w:sz="1"/>
              <w:right w:val="nil"/>
            </w:tcBorders>
            <w:shd w:fill="F4F3EF" w:val="clear"/>
            <w:tcMar>
              <w:top w:type="dxa" w:w="60"/>
              <w:left w:type="dxa" w:w="120"/>
              <w:bottom w:type="dxa" w:w="60"/>
              <w:right w:type="dxa" w:w="80"/>
            </w:tcMar>
          </w:tcPr>
          <w:p>
            <w:r>
              <w:rPr>
                <w:rFonts w:ascii="Arial" w:cs="Arial" w:eastAsia="Arial" w:hAnsi="Arial"/>
                <w:color w:val="5F5E5A"/>
                <w:sz w:val="19"/>
                <w:szCs w:val="19"/>
              </w:rPr>
              <w:t xml:space="preserve">FY26 Revenue Growth (INR)</w:t>
            </w:r>
          </w:p>
        </w:tc>
        <w:tc>
          <w:tcPr>
            <w:tcW w:type="dxa" w:w="6160"/>
            <w:tcBorders>
              <w:top w:val="single" w:color="CCCCCC" w:sz="1"/>
              <w:left w:val="nil"/>
              <w:bottom w:val="single" w:color="CCCCCC" w:sz="1"/>
              <w:right w:val="single" w:color="CCCCCC" w:sz="1"/>
            </w:tcBorders>
            <w:tcMar>
              <w:top w:type="dxa" w:w="60"/>
              <w:left w:type="dxa" w:w="120"/>
              <w:bottom w:type="dxa" w:w="60"/>
              <w:right w:type="dxa" w:w="120"/>
            </w:tcMar>
          </w:tcPr>
          <w:p>
            <w:r>
              <w:rPr>
                <w:rFonts w:ascii="Arial" w:cs="Arial" w:eastAsia="Arial" w:hAnsi="Arial"/>
                <w:b/>
                <w:bCs/>
                <w:color w:val="854F0B"/>
                <w:sz w:val="19"/>
                <w:szCs w:val="19"/>
              </w:rPr>
              <w:t xml:space="preserve">+4.6% YoY</w:t>
            </w:r>
          </w:p>
        </w:tc>
      </w:tr>
      <w:tr>
        <w:tc>
          <w:tcPr>
            <w:tcW w:type="dxa" w:w="3200"/>
            <w:tcBorders>
              <w:top w:val="single" w:color="CCCCCC" w:sz="1"/>
              <w:left w:val="single" w:color="CCCCCC" w:sz="1"/>
              <w:bottom w:val="single" w:color="CCCCCC" w:sz="1"/>
              <w:right w:val="nil"/>
            </w:tcBorders>
            <w:shd w:fill="F4F3EF" w:val="clear"/>
            <w:tcMar>
              <w:top w:type="dxa" w:w="60"/>
              <w:left w:type="dxa" w:w="120"/>
              <w:bottom w:type="dxa" w:w="60"/>
              <w:right w:type="dxa" w:w="80"/>
            </w:tcMar>
          </w:tcPr>
          <w:p>
            <w:r>
              <w:rPr>
                <w:rFonts w:ascii="Arial" w:cs="Arial" w:eastAsia="Arial" w:hAnsi="Arial"/>
                <w:color w:val="5F5E5A"/>
                <w:sz w:val="19"/>
                <w:szCs w:val="19"/>
              </w:rPr>
              <w:t xml:space="preserve">FY26 Revenue Growth (CC)</w:t>
            </w:r>
          </w:p>
        </w:tc>
        <w:tc>
          <w:tcPr>
            <w:tcW w:type="dxa" w:w="6160"/>
            <w:tcBorders>
              <w:top w:val="single" w:color="CCCCCC" w:sz="1"/>
              <w:left w:val="nil"/>
              <w:bottom w:val="single" w:color="CCCCCC" w:sz="1"/>
              <w:right w:val="single" w:color="CCCCCC" w:sz="1"/>
            </w:tcBorders>
            <w:tcMar>
              <w:top w:type="dxa" w:w="60"/>
              <w:left w:type="dxa" w:w="120"/>
              <w:bottom w:type="dxa" w:w="60"/>
              <w:right w:type="dxa" w:w="120"/>
            </w:tcMar>
          </w:tcPr>
          <w:p>
            <w:r>
              <w:rPr>
                <w:rFonts w:ascii="Arial" w:cs="Arial" w:eastAsia="Arial" w:hAnsi="Arial"/>
                <w:b/>
                <w:bCs/>
                <w:color w:val="A32D2D"/>
                <w:sz w:val="19"/>
                <w:szCs w:val="19"/>
              </w:rPr>
              <w:t xml:space="preserve">-2.4% YoY — Key concern</w:t>
            </w:r>
          </w:p>
        </w:tc>
      </w:tr>
      <w:tr>
        <w:tc>
          <w:tcPr>
            <w:tcW w:type="dxa" w:w="3200"/>
            <w:tcBorders>
              <w:top w:val="single" w:color="CCCCCC" w:sz="1"/>
              <w:left w:val="single" w:color="CCCCCC" w:sz="1"/>
              <w:bottom w:val="single" w:color="CCCCCC" w:sz="1"/>
              <w:right w:val="nil"/>
            </w:tcBorders>
            <w:shd w:fill="F4F3EF" w:val="clear"/>
            <w:tcMar>
              <w:top w:type="dxa" w:w="60"/>
              <w:left w:type="dxa" w:w="120"/>
              <w:bottom w:type="dxa" w:w="60"/>
              <w:right w:type="dxa" w:w="80"/>
            </w:tcMar>
          </w:tcPr>
          <w:p>
            <w:r>
              <w:rPr>
                <w:rFonts w:ascii="Arial" w:cs="Arial" w:eastAsia="Arial" w:hAnsi="Arial"/>
                <w:color w:val="5F5E5A"/>
                <w:sz w:val="19"/>
                <w:szCs w:val="19"/>
              </w:rPr>
              <w:t xml:space="preserve">EBIT Margin Q4 FY26</w:t>
            </w:r>
          </w:p>
        </w:tc>
        <w:tc>
          <w:tcPr>
            <w:tcW w:type="dxa" w:w="6160"/>
            <w:tcBorders>
              <w:top w:val="single" w:color="CCCCCC" w:sz="1"/>
              <w:left w:val="nil"/>
              <w:bottom w:val="single" w:color="CCCCCC" w:sz="1"/>
              <w:right w:val="single" w:color="CCCCCC" w:sz="1"/>
            </w:tcBorders>
            <w:tcMar>
              <w:top w:type="dxa" w:w="60"/>
              <w:left w:type="dxa" w:w="120"/>
              <w:bottom w:type="dxa" w:w="60"/>
              <w:right w:type="dxa" w:w="120"/>
            </w:tcMar>
          </w:tcPr>
          <w:p>
            <w:r>
              <w:rPr>
                <w:rFonts w:ascii="Arial" w:cs="Arial" w:eastAsia="Arial" w:hAnsi="Arial"/>
                <w:b/>
                <w:bCs/>
                <w:color w:val="3B6D11"/>
                <w:sz w:val="19"/>
                <w:szCs w:val="19"/>
              </w:rPr>
              <w:t xml:space="preserve">25.3% — Near multi-year high</w:t>
            </w:r>
          </w:p>
        </w:tc>
      </w:tr>
      <w:tr>
        <w:tc>
          <w:tcPr>
            <w:tcW w:type="dxa" w:w="3200"/>
            <w:tcBorders>
              <w:top w:val="single" w:color="CCCCCC" w:sz="1"/>
              <w:left w:val="single" w:color="CCCCCC" w:sz="1"/>
              <w:bottom w:val="single" w:color="CCCCCC" w:sz="1"/>
              <w:right w:val="nil"/>
            </w:tcBorders>
            <w:shd w:fill="F4F3EF" w:val="clear"/>
            <w:tcMar>
              <w:top w:type="dxa" w:w="60"/>
              <w:left w:type="dxa" w:w="120"/>
              <w:bottom w:type="dxa" w:w="60"/>
              <w:right w:type="dxa" w:w="80"/>
            </w:tcMar>
          </w:tcPr>
          <w:p>
            <w:r>
              <w:rPr>
                <w:rFonts w:ascii="Arial" w:cs="Arial" w:eastAsia="Arial" w:hAnsi="Arial"/>
                <w:color w:val="5F5E5A"/>
                <w:sz w:val="19"/>
                <w:szCs w:val="19"/>
              </w:rPr>
              <w:t xml:space="preserve">AI Revenue (Annualised, Q4)</w:t>
            </w:r>
          </w:p>
        </w:tc>
        <w:tc>
          <w:tcPr>
            <w:tcW w:type="dxa" w:w="6160"/>
            <w:tcBorders>
              <w:top w:val="single" w:color="CCCCCC" w:sz="1"/>
              <w:left w:val="nil"/>
              <w:bottom w:val="single" w:color="CCCCCC" w:sz="1"/>
              <w:right w:val="single" w:color="CCCCCC" w:sz="1"/>
            </w:tcBorders>
            <w:tcMar>
              <w:top w:type="dxa" w:w="60"/>
              <w:left w:type="dxa" w:w="120"/>
              <w:bottom w:type="dxa" w:w="60"/>
              <w:right w:type="dxa" w:w="120"/>
            </w:tcMar>
          </w:tcPr>
          <w:p>
            <w:r>
              <w:rPr>
                <w:rFonts w:ascii="Arial" w:cs="Arial" w:eastAsia="Arial" w:hAnsi="Arial"/>
                <w:b/>
                <w:bCs/>
                <w:color w:val="3B6D11"/>
                <w:sz w:val="19"/>
                <w:szCs w:val="19"/>
              </w:rPr>
              <w:t xml:space="preserve">$2.3 Bn (up from $1.8 Bn in Q3)</w:t>
            </w:r>
          </w:p>
        </w:tc>
      </w:tr>
    </w:tbl>
    <w:p>
      <w:pPr>
        <w:spacing w:after="0" w:before="120"/>
      </w:pPr>
    </w:p>
    <w:p>
      <w:pPr>
        <w:spacing w:after="80" w:before="200"/>
      </w:pPr>
      <w:r>
        <w:rPr>
          <w:rFonts w:ascii="Arial" w:cs="Arial" w:eastAsia="Arial" w:hAnsi="Arial"/>
          <w:b/>
          <w:bCs/>
          <w:color w:val="185FA5"/>
          <w:sz w:val="22"/>
          <w:szCs w:val="22"/>
        </w:rPr>
        <w:t xml:space="preserve">Deal Wins &amp; AI Pipeline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nil"/>
            </w:tcBorders>
            <w:shd w:fill="F4F3EF" w:val="clear"/>
            <w:tcMar>
              <w:top w:type="dxa" w:w="60"/>
              <w:left w:type="dxa" w:w="120"/>
              <w:bottom w:type="dxa" w:w="60"/>
              <w:right w:type="dxa" w:w="80"/>
            </w:tcMar>
          </w:tcPr>
          <w:p>
            <w:r>
              <w:rPr>
                <w:rFonts w:ascii="Arial" w:cs="Arial" w:eastAsia="Arial" w:hAnsi="Arial"/>
                <w:color w:val="5F5E5A"/>
                <w:sz w:val="19"/>
                <w:szCs w:val="19"/>
              </w:rPr>
              <w:t xml:space="preserve">FY26 Total Contract Value (TCV)</w:t>
            </w:r>
          </w:p>
        </w:tc>
        <w:tc>
          <w:tcPr>
            <w:tcW w:type="dxa" w:w="6160"/>
            <w:tcBorders>
              <w:top w:val="single" w:color="CCCCCC" w:sz="1"/>
              <w:left w:val="nil"/>
              <w:bottom w:val="single" w:color="CCCCCC" w:sz="1"/>
              <w:right w:val="single" w:color="CCCCCC" w:sz="1"/>
            </w:tcBorders>
            <w:tcMar>
              <w:top w:type="dxa" w:w="60"/>
              <w:left w:type="dxa" w:w="120"/>
              <w:bottom w:type="dxa" w:w="60"/>
              <w:right w:type="dxa" w:w="120"/>
            </w:tcMar>
          </w:tcPr>
          <w:p>
            <w:r>
              <w:rPr>
                <w:rFonts w:ascii="Arial" w:cs="Arial" w:eastAsia="Arial" w:hAnsi="Arial"/>
                <w:b/>
                <w:bCs/>
                <w:color w:val="3B6D11"/>
                <w:sz w:val="19"/>
                <w:szCs w:val="19"/>
              </w:rPr>
              <w:t xml:space="preserve">$40.7 Billion</w:t>
            </w:r>
          </w:p>
        </w:tc>
      </w:tr>
      <w:tr>
        <w:tc>
          <w:tcPr>
            <w:tcW w:type="dxa" w:w="3200"/>
            <w:tcBorders>
              <w:top w:val="single" w:color="CCCCCC" w:sz="1"/>
              <w:left w:val="single" w:color="CCCCCC" w:sz="1"/>
              <w:bottom w:val="single" w:color="CCCCCC" w:sz="1"/>
              <w:right w:val="nil"/>
            </w:tcBorders>
            <w:shd w:fill="F4F3EF" w:val="clear"/>
            <w:tcMar>
              <w:top w:type="dxa" w:w="60"/>
              <w:left w:type="dxa" w:w="120"/>
              <w:bottom w:type="dxa" w:w="60"/>
              <w:right w:type="dxa" w:w="80"/>
            </w:tcMar>
          </w:tcPr>
          <w:p>
            <w:r>
              <w:rPr>
                <w:rFonts w:ascii="Arial" w:cs="Arial" w:eastAsia="Arial" w:hAnsi="Arial"/>
                <w:color w:val="5F5E5A"/>
                <w:sz w:val="19"/>
                <w:szCs w:val="19"/>
              </w:rPr>
              <w:t xml:space="preserve">Q4 FY26 TCV</w:t>
            </w:r>
          </w:p>
        </w:tc>
        <w:tc>
          <w:tcPr>
            <w:tcW w:type="dxa" w:w="6160"/>
            <w:tcBorders>
              <w:top w:val="single" w:color="CCCCCC" w:sz="1"/>
              <w:left w:val="nil"/>
              <w:bottom w:val="single" w:color="CCCCCC" w:sz="1"/>
              <w:right w:val="single" w:color="CCCCCC" w:sz="1"/>
            </w:tcBorders>
            <w:tcMar>
              <w:top w:type="dxa" w:w="60"/>
              <w:left w:type="dxa" w:w="120"/>
              <w:bottom w:type="dxa" w:w="60"/>
              <w:right w:type="dxa" w:w="120"/>
            </w:tcMar>
          </w:tcPr>
          <w:p>
            <w:r>
              <w:rPr>
                <w:rFonts w:ascii="Arial" w:cs="Arial" w:eastAsia="Arial" w:hAnsi="Arial"/>
                <w:b/>
                <w:bCs/>
                <w:color w:val="3B6D11"/>
                <w:sz w:val="19"/>
                <w:szCs w:val="19"/>
              </w:rPr>
              <w:t xml:space="preserve">$12.0 Billion (strong exit rate)</w:t>
            </w:r>
          </w:p>
        </w:tc>
      </w:tr>
      <w:tr>
        <w:tc>
          <w:tcPr>
            <w:tcW w:type="dxa" w:w="3200"/>
            <w:tcBorders>
              <w:top w:val="single" w:color="CCCCCC" w:sz="1"/>
              <w:left w:val="single" w:color="CCCCCC" w:sz="1"/>
              <w:bottom w:val="single" w:color="CCCCCC" w:sz="1"/>
              <w:right w:val="nil"/>
            </w:tcBorders>
            <w:shd w:fill="F4F3EF" w:val="clear"/>
            <w:tcMar>
              <w:top w:type="dxa" w:w="60"/>
              <w:left w:type="dxa" w:w="120"/>
              <w:bottom w:type="dxa" w:w="60"/>
              <w:right w:type="dxa" w:w="80"/>
            </w:tcMar>
          </w:tcPr>
          <w:p>
            <w:r>
              <w:rPr>
                <w:rFonts w:ascii="Arial" w:cs="Arial" w:eastAsia="Arial" w:hAnsi="Arial"/>
                <w:color w:val="5F5E5A"/>
                <w:sz w:val="19"/>
                <w:szCs w:val="19"/>
              </w:rPr>
              <w:t xml:space="preserve">Clients — $100M+ band</w:t>
            </w:r>
          </w:p>
        </w:tc>
        <w:tc>
          <w:tcPr>
            <w:tcW w:type="dxa" w:w="6160"/>
            <w:tcBorders>
              <w:top w:val="single" w:color="CCCCCC" w:sz="1"/>
              <w:left w:val="nil"/>
              <w:bottom w:val="single" w:color="CCCCCC" w:sz="1"/>
              <w:right w:val="single" w:color="CCCCCC" w:sz="1"/>
            </w:tcBorders>
            <w:tcMar>
              <w:top w:type="dxa" w:w="60"/>
              <w:left w:type="dxa" w:w="120"/>
              <w:bottom w:type="dxa" w:w="60"/>
              <w:right w:type="dxa" w:w="120"/>
            </w:tcMar>
          </w:tcPr>
          <w:p>
            <w:r>
              <w:rPr>
                <w:rFonts w:ascii="Arial" w:cs="Arial" w:eastAsia="Arial" w:hAnsi="Arial"/>
                <w:b/>
                <w:bCs/>
                <w:color w:val="185FA5"/>
                <w:sz w:val="19"/>
                <w:szCs w:val="19"/>
              </w:rPr>
              <w:t xml:space="preserve">66 clients</w:t>
            </w:r>
          </w:p>
        </w:tc>
      </w:tr>
      <w:tr>
        <w:tc>
          <w:tcPr>
            <w:tcW w:type="dxa" w:w="3200"/>
            <w:tcBorders>
              <w:top w:val="single" w:color="CCCCCC" w:sz="1"/>
              <w:left w:val="single" w:color="CCCCCC" w:sz="1"/>
              <w:bottom w:val="single" w:color="CCCCCC" w:sz="1"/>
              <w:right w:val="nil"/>
            </w:tcBorders>
            <w:shd w:fill="F4F3EF" w:val="clear"/>
            <w:tcMar>
              <w:top w:type="dxa" w:w="60"/>
              <w:left w:type="dxa" w:w="120"/>
              <w:bottom w:type="dxa" w:w="60"/>
              <w:right w:type="dxa" w:w="80"/>
            </w:tcMar>
          </w:tcPr>
          <w:p>
            <w:r>
              <w:rPr>
                <w:rFonts w:ascii="Arial" w:cs="Arial" w:eastAsia="Arial" w:hAnsi="Arial"/>
                <w:color w:val="5F5E5A"/>
                <w:sz w:val="19"/>
                <w:szCs w:val="19"/>
              </w:rPr>
              <w:t xml:space="preserve">Clients — $1M+ band</w:t>
            </w:r>
          </w:p>
        </w:tc>
        <w:tc>
          <w:tcPr>
            <w:tcW w:type="dxa" w:w="6160"/>
            <w:tcBorders>
              <w:top w:val="single" w:color="CCCCCC" w:sz="1"/>
              <w:left w:val="nil"/>
              <w:bottom w:val="single" w:color="CCCCCC" w:sz="1"/>
              <w:right w:val="single" w:color="CCCCCC" w:sz="1"/>
            </w:tcBorders>
            <w:tcMar>
              <w:top w:type="dxa" w:w="60"/>
              <w:left w:type="dxa" w:w="120"/>
              <w:bottom w:type="dxa" w:w="60"/>
              <w:right w:type="dxa" w:w="120"/>
            </w:tcMar>
          </w:tcPr>
          <w:p>
            <w:r>
              <w:rPr>
                <w:rFonts w:ascii="Arial" w:cs="Arial" w:eastAsia="Arial" w:hAnsi="Arial"/>
                <w:b/>
                <w:bCs/>
                <w:color w:val="185FA5"/>
                <w:sz w:val="19"/>
                <w:szCs w:val="19"/>
              </w:rPr>
              <w:t xml:space="preserve">1,397 clients</w:t>
            </w:r>
          </w:p>
        </w:tc>
      </w:tr>
      <w:tr>
        <w:tc>
          <w:tcPr>
            <w:tcW w:type="dxa" w:w="3200"/>
            <w:tcBorders>
              <w:top w:val="single" w:color="CCCCCC" w:sz="1"/>
              <w:left w:val="single" w:color="CCCCCC" w:sz="1"/>
              <w:bottom w:val="single" w:color="CCCCCC" w:sz="1"/>
              <w:right w:val="nil"/>
            </w:tcBorders>
            <w:shd w:fill="F4F3EF" w:val="clear"/>
            <w:tcMar>
              <w:top w:type="dxa" w:w="60"/>
              <w:left w:type="dxa" w:w="120"/>
              <w:bottom w:type="dxa" w:w="60"/>
              <w:right w:type="dxa" w:w="80"/>
            </w:tcMar>
          </w:tcPr>
          <w:p>
            <w:r>
              <w:rPr>
                <w:rFonts w:ascii="Arial" w:cs="Arial" w:eastAsia="Arial" w:hAnsi="Arial"/>
                <w:color w:val="5F5E5A"/>
                <w:sz w:val="19"/>
                <w:szCs w:val="19"/>
              </w:rPr>
              <w:t xml:space="preserve">Employees trained in AI/ML</w:t>
            </w:r>
          </w:p>
        </w:tc>
        <w:tc>
          <w:tcPr>
            <w:tcW w:type="dxa" w:w="6160"/>
            <w:tcBorders>
              <w:top w:val="single" w:color="CCCCCC" w:sz="1"/>
              <w:left w:val="nil"/>
              <w:bottom w:val="single" w:color="CCCCCC" w:sz="1"/>
              <w:right w:val="single" w:color="CCCCCC" w:sz="1"/>
            </w:tcBorders>
            <w:tcMar>
              <w:top w:type="dxa" w:w="60"/>
              <w:left w:type="dxa" w:w="120"/>
              <w:bottom w:type="dxa" w:w="60"/>
              <w:right w:type="dxa" w:w="120"/>
            </w:tcMar>
          </w:tcPr>
          <w:p>
            <w:r>
              <w:rPr>
                <w:rFonts w:ascii="Arial" w:cs="Arial" w:eastAsia="Arial" w:hAnsi="Arial"/>
                <w:b/>
                <w:bCs/>
                <w:color w:val="185FA5"/>
                <w:sz w:val="19"/>
                <w:szCs w:val="19"/>
              </w:rPr>
              <w:t xml:space="preserve">270,000+</w:t>
            </w:r>
          </w:p>
        </w:tc>
      </w:tr>
      <w:tr>
        <w:tc>
          <w:tcPr>
            <w:tcW w:type="dxa" w:w="3200"/>
            <w:tcBorders>
              <w:top w:val="single" w:color="CCCCCC" w:sz="1"/>
              <w:left w:val="single" w:color="CCCCCC" w:sz="1"/>
              <w:bottom w:val="single" w:color="CCCCCC" w:sz="1"/>
              <w:right w:val="nil"/>
            </w:tcBorders>
            <w:shd w:fill="F4F3EF" w:val="clear"/>
            <w:tcMar>
              <w:top w:type="dxa" w:w="60"/>
              <w:left w:type="dxa" w:w="120"/>
              <w:bottom w:type="dxa" w:w="60"/>
              <w:right w:type="dxa" w:w="80"/>
            </w:tcMar>
          </w:tcPr>
          <w:p>
            <w:r>
              <w:rPr>
                <w:rFonts w:ascii="Arial" w:cs="Arial" w:eastAsia="Arial" w:hAnsi="Arial"/>
                <w:color w:val="5F5E5A"/>
                <w:sz w:val="19"/>
                <w:szCs w:val="19"/>
              </w:rPr>
              <w:t xml:space="preserve">TCS–Anthropic Partnership</w:t>
            </w:r>
          </w:p>
        </w:tc>
        <w:tc>
          <w:tcPr>
            <w:tcW w:type="dxa" w:w="6160"/>
            <w:tcBorders>
              <w:top w:val="single" w:color="CCCCCC" w:sz="1"/>
              <w:left w:val="nil"/>
              <w:bottom w:val="single" w:color="CCCCCC" w:sz="1"/>
              <w:right w:val="single" w:color="CCCCCC" w:sz="1"/>
            </w:tcBorders>
            <w:tcMar>
              <w:top w:type="dxa" w:w="60"/>
              <w:left w:type="dxa" w:w="120"/>
              <w:bottom w:type="dxa" w:w="60"/>
              <w:right w:type="dxa" w:w="120"/>
            </w:tcMar>
          </w:tcPr>
          <w:p>
            <w:r>
              <w:rPr>
                <w:rFonts w:ascii="Arial" w:cs="Arial" w:eastAsia="Arial" w:hAnsi="Arial"/>
                <w:b/>
                <w:bCs/>
                <w:color w:val="3B6D11"/>
                <w:sz w:val="19"/>
                <w:szCs w:val="19"/>
              </w:rPr>
              <w:t xml:space="preserve">Premier AI partnership announced June 2026</w:t>
            </w:r>
          </w:p>
        </w:tc>
      </w:tr>
    </w:tbl>
    <w:p>
      <w:pPr>
        <w:spacing w:after="0" w:before="200"/>
      </w:pPr>
    </w:p>
    <w:p>
      <w:pPr>
        <w:pBdr>
          <w:left w:val="single" w:color="185FA5" w:sz="18" w:space="8"/>
        </w:pBdr>
        <w:shd w:fill="EEF5FC" w:val="clear"/>
        <w:spacing w:after="120" w:before="280"/>
        <w:ind w:left="120"/>
      </w:pPr>
      <w:r>
        <w:rPr>
          <w:rFonts w:ascii="Arial" w:cs="Arial" w:eastAsia="Arial" w:hAnsi="Arial"/>
          <w:b/>
          <w:bCs/>
          <w:color w:val="0C447C"/>
          <w:sz w:val="26"/>
          <w:szCs w:val="26"/>
        </w:rPr>
        <w:t xml:space="preserve">4. Financial Health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nil"/>
            </w:tcBorders>
            <w:shd w:fill="F4F3EF" w:val="clear"/>
            <w:tcMar>
              <w:top w:type="dxa" w:w="60"/>
              <w:left w:type="dxa" w:w="120"/>
              <w:bottom w:type="dxa" w:w="60"/>
              <w:right w:type="dxa" w:w="80"/>
            </w:tcMar>
          </w:tcPr>
          <w:p>
            <w:r>
              <w:rPr>
                <w:rFonts w:ascii="Arial" w:cs="Arial" w:eastAsia="Arial" w:hAnsi="Arial"/>
                <w:color w:val="5F5E5A"/>
                <w:sz w:val="19"/>
                <w:szCs w:val="19"/>
              </w:rPr>
              <w:t xml:space="preserve">Debt/Equity Ratio</w:t>
            </w:r>
          </w:p>
        </w:tc>
        <w:tc>
          <w:tcPr>
            <w:tcW w:type="dxa" w:w="6160"/>
            <w:tcBorders>
              <w:top w:val="single" w:color="CCCCCC" w:sz="1"/>
              <w:left w:val="nil"/>
              <w:bottom w:val="single" w:color="CCCCCC" w:sz="1"/>
              <w:right w:val="single" w:color="CCCCCC" w:sz="1"/>
            </w:tcBorders>
            <w:tcMar>
              <w:top w:type="dxa" w:w="60"/>
              <w:left w:type="dxa" w:w="120"/>
              <w:bottom w:type="dxa" w:w="60"/>
              <w:right w:type="dxa" w:w="120"/>
            </w:tcMar>
          </w:tcPr>
          <w:p>
            <w:r>
              <w:rPr>
                <w:rFonts w:ascii="Arial" w:cs="Arial" w:eastAsia="Arial" w:hAnsi="Arial"/>
                <w:b/>
                <w:bCs/>
                <w:color w:val="3B6D11"/>
                <w:sz w:val="19"/>
                <w:szCs w:val="19"/>
              </w:rPr>
              <w:t xml:space="preserve">~0.1 — Safe (primarily leases)</w:t>
            </w:r>
          </w:p>
        </w:tc>
      </w:tr>
      <w:tr>
        <w:tc>
          <w:tcPr>
            <w:tcW w:type="dxa" w:w="3200"/>
            <w:tcBorders>
              <w:top w:val="single" w:color="CCCCCC" w:sz="1"/>
              <w:left w:val="single" w:color="CCCCCC" w:sz="1"/>
              <w:bottom w:val="single" w:color="CCCCCC" w:sz="1"/>
              <w:right w:val="nil"/>
            </w:tcBorders>
            <w:shd w:fill="F4F3EF" w:val="clear"/>
            <w:tcMar>
              <w:top w:type="dxa" w:w="60"/>
              <w:left w:type="dxa" w:w="120"/>
              <w:bottom w:type="dxa" w:w="60"/>
              <w:right w:type="dxa" w:w="80"/>
            </w:tcMar>
          </w:tcPr>
          <w:p>
            <w:r>
              <w:rPr>
                <w:rFonts w:ascii="Arial" w:cs="Arial" w:eastAsia="Arial" w:hAnsi="Arial"/>
                <w:color w:val="5F5E5A"/>
                <w:sz w:val="19"/>
                <w:szCs w:val="19"/>
              </w:rPr>
              <w:t xml:space="preserve">Borrowings FY26</w:t>
            </w:r>
          </w:p>
        </w:tc>
        <w:tc>
          <w:tcPr>
            <w:tcW w:type="dxa" w:w="6160"/>
            <w:tcBorders>
              <w:top w:val="single" w:color="CCCCCC" w:sz="1"/>
              <w:left w:val="nil"/>
              <w:bottom w:val="single" w:color="CCCCCC" w:sz="1"/>
              <w:right w:val="single" w:color="CCCCCC" w:sz="1"/>
            </w:tcBorders>
            <w:tcMar>
              <w:top w:type="dxa" w:w="60"/>
              <w:left w:type="dxa" w:w="120"/>
              <w:bottom w:type="dxa" w:w="60"/>
              <w:right w:type="dxa" w:w="120"/>
            </w:tcMar>
          </w:tcPr>
          <w:p>
            <w:r>
              <w:rPr>
                <w:rFonts w:ascii="Arial" w:cs="Arial" w:eastAsia="Arial" w:hAnsi="Arial"/>
                <w:b/>
                <w:bCs/>
                <w:color w:val="185FA5"/>
                <w:sz w:val="19"/>
                <w:szCs w:val="19"/>
              </w:rPr>
              <w:t xml:space="preserve">₹11,283 Cr</w:t>
            </w:r>
          </w:p>
        </w:tc>
      </w:tr>
      <w:tr>
        <w:tc>
          <w:tcPr>
            <w:tcW w:type="dxa" w:w="3200"/>
            <w:tcBorders>
              <w:top w:val="single" w:color="CCCCCC" w:sz="1"/>
              <w:left w:val="single" w:color="CCCCCC" w:sz="1"/>
              <w:bottom w:val="single" w:color="CCCCCC" w:sz="1"/>
              <w:right w:val="nil"/>
            </w:tcBorders>
            <w:shd w:fill="F4F3EF" w:val="clear"/>
            <w:tcMar>
              <w:top w:type="dxa" w:w="60"/>
              <w:left w:type="dxa" w:w="120"/>
              <w:bottom w:type="dxa" w:w="60"/>
              <w:right w:type="dxa" w:w="80"/>
            </w:tcMar>
          </w:tcPr>
          <w:p>
            <w:r>
              <w:rPr>
                <w:rFonts w:ascii="Arial" w:cs="Arial" w:eastAsia="Arial" w:hAnsi="Arial"/>
                <w:color w:val="5F5E5A"/>
                <w:sz w:val="19"/>
                <w:szCs w:val="19"/>
              </w:rPr>
              <w:t xml:space="preserve">Interest Coverage</w:t>
            </w:r>
          </w:p>
        </w:tc>
        <w:tc>
          <w:tcPr>
            <w:tcW w:type="dxa" w:w="6160"/>
            <w:tcBorders>
              <w:top w:val="single" w:color="CCCCCC" w:sz="1"/>
              <w:left w:val="nil"/>
              <w:bottom w:val="single" w:color="CCCCCC" w:sz="1"/>
              <w:right w:val="single" w:color="CCCCCC" w:sz="1"/>
            </w:tcBorders>
            <w:tcMar>
              <w:top w:type="dxa" w:w="60"/>
              <w:left w:type="dxa" w:w="120"/>
              <w:bottom w:type="dxa" w:w="60"/>
              <w:right w:type="dxa" w:w="120"/>
            </w:tcMar>
          </w:tcPr>
          <w:p>
            <w:r>
              <w:rPr>
                <w:rFonts w:ascii="Arial" w:cs="Arial" w:eastAsia="Arial" w:hAnsi="Arial"/>
                <w:b/>
                <w:bCs/>
                <w:color w:val="3B6D11"/>
                <w:sz w:val="19"/>
                <w:szCs w:val="19"/>
              </w:rPr>
              <w:t xml:space="preserve">&gt;50x — Excellent</w:t>
            </w:r>
          </w:p>
        </w:tc>
      </w:tr>
      <w:tr>
        <w:tc>
          <w:tcPr>
            <w:tcW w:type="dxa" w:w="3200"/>
            <w:tcBorders>
              <w:top w:val="single" w:color="CCCCCC" w:sz="1"/>
              <w:left w:val="single" w:color="CCCCCC" w:sz="1"/>
              <w:bottom w:val="single" w:color="CCCCCC" w:sz="1"/>
              <w:right w:val="nil"/>
            </w:tcBorders>
            <w:shd w:fill="F4F3EF" w:val="clear"/>
            <w:tcMar>
              <w:top w:type="dxa" w:w="60"/>
              <w:left w:type="dxa" w:w="120"/>
              <w:bottom w:type="dxa" w:w="60"/>
              <w:right w:type="dxa" w:w="80"/>
            </w:tcMar>
          </w:tcPr>
          <w:p>
            <w:r>
              <w:rPr>
                <w:rFonts w:ascii="Arial" w:cs="Arial" w:eastAsia="Arial" w:hAnsi="Arial"/>
                <w:color w:val="5F5E5A"/>
                <w:sz w:val="19"/>
                <w:szCs w:val="19"/>
              </w:rPr>
              <w:t xml:space="preserve">Free Cash Flow FY26</w:t>
            </w:r>
          </w:p>
        </w:tc>
        <w:tc>
          <w:tcPr>
            <w:tcW w:type="dxa" w:w="6160"/>
            <w:tcBorders>
              <w:top w:val="single" w:color="CCCCCC" w:sz="1"/>
              <w:left w:val="nil"/>
              <w:bottom w:val="single" w:color="CCCCCC" w:sz="1"/>
              <w:right w:val="single" w:color="CCCCCC" w:sz="1"/>
            </w:tcBorders>
            <w:tcMar>
              <w:top w:type="dxa" w:w="60"/>
              <w:left w:type="dxa" w:w="120"/>
              <w:bottom w:type="dxa" w:w="60"/>
              <w:right w:type="dxa" w:w="120"/>
            </w:tcMar>
          </w:tcPr>
          <w:p>
            <w:r>
              <w:rPr>
                <w:rFonts w:ascii="Arial" w:cs="Arial" w:eastAsia="Arial" w:hAnsi="Arial"/>
                <w:b/>
                <w:bCs/>
                <w:color w:val="3B6D11"/>
                <w:sz w:val="19"/>
                <w:szCs w:val="19"/>
              </w:rPr>
              <w:t xml:space="preserve">₹48,013 Cr (+6.7% YoY)</w:t>
            </w:r>
          </w:p>
        </w:tc>
      </w:tr>
      <w:tr>
        <w:tc>
          <w:tcPr>
            <w:tcW w:type="dxa" w:w="3200"/>
            <w:tcBorders>
              <w:top w:val="single" w:color="CCCCCC" w:sz="1"/>
              <w:left w:val="single" w:color="CCCCCC" w:sz="1"/>
              <w:bottom w:val="single" w:color="CCCCCC" w:sz="1"/>
              <w:right w:val="nil"/>
            </w:tcBorders>
            <w:shd w:fill="F4F3EF" w:val="clear"/>
            <w:tcMar>
              <w:top w:type="dxa" w:w="60"/>
              <w:left w:type="dxa" w:w="120"/>
              <w:bottom w:type="dxa" w:w="60"/>
              <w:right w:type="dxa" w:w="80"/>
            </w:tcMar>
          </w:tcPr>
          <w:p>
            <w:r>
              <w:rPr>
                <w:rFonts w:ascii="Arial" w:cs="Arial" w:eastAsia="Arial" w:hAnsi="Arial"/>
                <w:color w:val="5F5E5A"/>
                <w:sz w:val="19"/>
                <w:szCs w:val="19"/>
              </w:rPr>
              <w:t xml:space="preserve">Cash from Operations FY26</w:t>
            </w:r>
          </w:p>
        </w:tc>
        <w:tc>
          <w:tcPr>
            <w:tcW w:type="dxa" w:w="6160"/>
            <w:tcBorders>
              <w:top w:val="single" w:color="CCCCCC" w:sz="1"/>
              <w:left w:val="nil"/>
              <w:bottom w:val="single" w:color="CCCCCC" w:sz="1"/>
              <w:right w:val="single" w:color="CCCCCC" w:sz="1"/>
            </w:tcBorders>
            <w:tcMar>
              <w:top w:type="dxa" w:w="60"/>
              <w:left w:type="dxa" w:w="120"/>
              <w:bottom w:type="dxa" w:w="60"/>
              <w:right w:type="dxa" w:w="120"/>
            </w:tcMar>
          </w:tcPr>
          <w:p>
            <w:r>
              <w:rPr>
                <w:rFonts w:ascii="Arial" w:cs="Arial" w:eastAsia="Arial" w:hAnsi="Arial"/>
                <w:b/>
                <w:bCs/>
                <w:color w:val="3B6D11"/>
                <w:sz w:val="19"/>
                <w:szCs w:val="19"/>
              </w:rPr>
              <w:t xml:space="preserve">₹52,094 Cr</w:t>
            </w:r>
          </w:p>
        </w:tc>
      </w:tr>
      <w:tr>
        <w:tc>
          <w:tcPr>
            <w:tcW w:type="dxa" w:w="3200"/>
            <w:tcBorders>
              <w:top w:val="single" w:color="CCCCCC" w:sz="1"/>
              <w:left w:val="single" w:color="CCCCCC" w:sz="1"/>
              <w:bottom w:val="single" w:color="CCCCCC" w:sz="1"/>
              <w:right w:val="nil"/>
            </w:tcBorders>
            <w:shd w:fill="F4F3EF" w:val="clear"/>
            <w:tcMar>
              <w:top w:type="dxa" w:w="60"/>
              <w:left w:type="dxa" w:w="120"/>
              <w:bottom w:type="dxa" w:w="60"/>
              <w:right w:type="dxa" w:w="80"/>
            </w:tcMar>
          </w:tcPr>
          <w:p>
            <w:r>
              <w:rPr>
                <w:rFonts w:ascii="Arial" w:cs="Arial" w:eastAsia="Arial" w:hAnsi="Arial"/>
                <w:color w:val="5F5E5A"/>
                <w:sz w:val="19"/>
                <w:szCs w:val="19"/>
              </w:rPr>
              <w:t xml:space="preserve">CFO / Operating Profit</w:t>
            </w:r>
          </w:p>
        </w:tc>
        <w:tc>
          <w:tcPr>
            <w:tcW w:type="dxa" w:w="6160"/>
            <w:tcBorders>
              <w:top w:val="single" w:color="CCCCCC" w:sz="1"/>
              <w:left w:val="nil"/>
              <w:bottom w:val="single" w:color="CCCCCC" w:sz="1"/>
              <w:right w:val="single" w:color="CCCCCC" w:sz="1"/>
            </w:tcBorders>
            <w:tcMar>
              <w:top w:type="dxa" w:w="60"/>
              <w:left w:type="dxa" w:w="120"/>
              <w:bottom w:type="dxa" w:w="60"/>
              <w:right w:type="dxa" w:w="120"/>
            </w:tcMar>
          </w:tcPr>
          <w:p>
            <w:r>
              <w:rPr>
                <w:rFonts w:ascii="Arial" w:cs="Arial" w:eastAsia="Arial" w:hAnsi="Arial"/>
                <w:b/>
                <w:bCs/>
                <w:color w:val="3B6D11"/>
                <w:sz w:val="19"/>
                <w:szCs w:val="19"/>
              </w:rPr>
              <w:t xml:space="preserve">~92% — Best-in-class conversion</w:t>
            </w:r>
          </w:p>
        </w:tc>
      </w:tr>
      <w:tr>
        <w:tc>
          <w:tcPr>
            <w:tcW w:type="dxa" w:w="3200"/>
            <w:tcBorders>
              <w:top w:val="single" w:color="CCCCCC" w:sz="1"/>
              <w:left w:val="single" w:color="CCCCCC" w:sz="1"/>
              <w:bottom w:val="single" w:color="CCCCCC" w:sz="1"/>
              <w:right w:val="nil"/>
            </w:tcBorders>
            <w:shd w:fill="F4F3EF" w:val="clear"/>
            <w:tcMar>
              <w:top w:type="dxa" w:w="60"/>
              <w:left w:type="dxa" w:w="120"/>
              <w:bottom w:type="dxa" w:w="60"/>
              <w:right w:type="dxa" w:w="80"/>
            </w:tcMar>
          </w:tcPr>
          <w:p>
            <w:r>
              <w:rPr>
                <w:rFonts w:ascii="Arial" w:cs="Arial" w:eastAsia="Arial" w:hAnsi="Arial"/>
                <w:color w:val="5F5E5A"/>
                <w:sz w:val="19"/>
                <w:szCs w:val="19"/>
              </w:rPr>
              <w:t xml:space="preserve">Debtor Days (DSO)</w:t>
            </w:r>
          </w:p>
        </w:tc>
        <w:tc>
          <w:tcPr>
            <w:tcW w:type="dxa" w:w="6160"/>
            <w:tcBorders>
              <w:top w:val="single" w:color="CCCCCC" w:sz="1"/>
              <w:left w:val="nil"/>
              <w:bottom w:val="single" w:color="CCCCCC" w:sz="1"/>
              <w:right w:val="single" w:color="CCCCCC" w:sz="1"/>
            </w:tcBorders>
            <w:tcMar>
              <w:top w:type="dxa" w:w="60"/>
              <w:left w:type="dxa" w:w="120"/>
              <w:bottom w:type="dxa" w:w="60"/>
              <w:right w:type="dxa" w:w="120"/>
            </w:tcMar>
          </w:tcPr>
          <w:p>
            <w:r>
              <w:rPr>
                <w:rFonts w:ascii="Arial" w:cs="Arial" w:eastAsia="Arial" w:hAnsi="Arial"/>
                <w:b/>
                <w:bCs/>
                <w:color w:val="854F0B"/>
                <w:sz w:val="19"/>
                <w:szCs w:val="19"/>
              </w:rPr>
              <w:t xml:space="preserve">93 days — Rising (was 81 in FY23) ⚠</w:t>
            </w:r>
          </w:p>
        </w:tc>
      </w:tr>
      <w:tr>
        <w:tc>
          <w:tcPr>
            <w:tcW w:type="dxa" w:w="3200"/>
            <w:tcBorders>
              <w:top w:val="single" w:color="CCCCCC" w:sz="1"/>
              <w:left w:val="single" w:color="CCCCCC" w:sz="1"/>
              <w:bottom w:val="single" w:color="CCCCCC" w:sz="1"/>
              <w:right w:val="nil"/>
            </w:tcBorders>
            <w:shd w:fill="F4F3EF" w:val="clear"/>
            <w:tcMar>
              <w:top w:type="dxa" w:w="60"/>
              <w:left w:type="dxa" w:w="120"/>
              <w:bottom w:type="dxa" w:w="60"/>
              <w:right w:type="dxa" w:w="80"/>
            </w:tcMar>
          </w:tcPr>
          <w:p>
            <w:r>
              <w:rPr>
                <w:rFonts w:ascii="Arial" w:cs="Arial" w:eastAsia="Arial" w:hAnsi="Arial"/>
                <w:color w:val="5F5E5A"/>
                <w:sz w:val="19"/>
                <w:szCs w:val="19"/>
              </w:rPr>
              <w:t xml:space="preserve">Working Capital Days</w:t>
            </w:r>
          </w:p>
        </w:tc>
        <w:tc>
          <w:tcPr>
            <w:tcW w:type="dxa" w:w="6160"/>
            <w:tcBorders>
              <w:top w:val="single" w:color="CCCCCC" w:sz="1"/>
              <w:left w:val="nil"/>
              <w:bottom w:val="single" w:color="CCCCCC" w:sz="1"/>
              <w:right w:val="single" w:color="CCCCCC" w:sz="1"/>
            </w:tcBorders>
            <w:tcMar>
              <w:top w:type="dxa" w:w="60"/>
              <w:left w:type="dxa" w:w="120"/>
              <w:bottom w:type="dxa" w:w="60"/>
              <w:right w:type="dxa" w:w="120"/>
            </w:tcMar>
          </w:tcPr>
          <w:p>
            <w:r>
              <w:rPr>
                <w:rFonts w:ascii="Arial" w:cs="Arial" w:eastAsia="Arial" w:hAnsi="Arial"/>
                <w:b/>
                <w:bCs/>
                <w:color w:val="185FA5"/>
                <w:sz w:val="19"/>
                <w:szCs w:val="19"/>
              </w:rPr>
              <w:t xml:space="preserve">38 days — Manageable</w:t>
            </w:r>
          </w:p>
        </w:tc>
      </w:tr>
    </w:tbl>
    <w:p>
      <w:pPr>
        <w:spacing w:after="0" w:before="80"/>
      </w:pPr>
    </w:p>
    <w:p>
      <w:pPr>
        <w:spacing w:after="80" w:before="200"/>
      </w:pPr>
      <w:r>
        <w:rPr>
          <w:rFonts w:ascii="Arial" w:cs="Arial" w:eastAsia="Arial" w:hAnsi="Arial"/>
          <w:b/>
          <w:bCs/>
          <w:color w:val="185FA5"/>
          <w:sz w:val="22"/>
          <w:szCs w:val="22"/>
        </w:rPr>
        <w:t xml:space="preserve">FCF Trend (₹ Cr)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1150"/>
        <w:gridCol w:w="1150"/>
        <w:gridCol w:w="1150"/>
        <w:gridCol w:w="1150"/>
        <w:gridCol w:w="1150"/>
        <w:gridCol w:w="1155"/>
        <w:gridCol w:w="1155"/>
      </w:tblGrid>
      <w:tr>
        <w:tc>
          <w:tcPr>
            <w:tcW w:type="dxa" w:w="1300"/>
            <w:tcBorders>
              <w:top w:val="single" w:color="CCCCCC" w:sz="1"/>
              <w:left w:val="single" w:color="CCCCCC" w:sz="1"/>
              <w:bottom w:val="single" w:color="CCCCCC" w:sz="1"/>
              <w:right w:val="single" w:color="CCCCCC" w:sz="1"/>
            </w:tcBorders>
            <w:shd w:fill="0C447C" w:val="clear"/>
            <w:tcMar>
              <w:top w:type="dxa" w:w="50"/>
              <w:left w:type="dxa" w:w="60"/>
              <w:bottom w:type="dxa" w:w="50"/>
              <w:right w:type="dxa" w:w="60"/>
            </w:tcMar>
          </w:tcPr>
          <w:p>
            <w:pPr>
              <w:jc w:val="center"/>
            </w:pPr>
            <w:r>
              <w:rPr>
                <w:rFonts w:ascii="Arial" w:cs="Arial" w:eastAsia="Arial" w:hAnsi="Arial"/>
                <w:b/>
                <w:bCs/>
                <w:color w:val="FFFFFF"/>
                <w:sz w:val="17"/>
                <w:szCs w:val="17"/>
              </w:rPr>
              <w:t xml:space="preserve">Year</w:t>
            </w:r>
          </w:p>
        </w:tc>
        <w:tc>
          <w:tcPr>
            <w:tcW w:type="dxa" w:w="1150"/>
            <w:tcBorders>
              <w:top w:val="single" w:color="CCCCCC" w:sz="1"/>
              <w:left w:val="single" w:color="CCCCCC" w:sz="1"/>
              <w:bottom w:val="single" w:color="CCCCCC" w:sz="1"/>
              <w:right w:val="single" w:color="CCCCCC" w:sz="1"/>
            </w:tcBorders>
            <w:shd w:fill="0C447C" w:val="clear"/>
            <w:tcMar>
              <w:top w:type="dxa" w:w="50"/>
              <w:left w:type="dxa" w:w="60"/>
              <w:bottom w:type="dxa" w:w="50"/>
              <w:right w:type="dxa" w:w="60"/>
            </w:tcMar>
          </w:tcPr>
          <w:p>
            <w:pPr>
              <w:jc w:val="center"/>
            </w:pPr>
            <w:r>
              <w:rPr>
                <w:rFonts w:ascii="Arial" w:cs="Arial" w:eastAsia="Arial" w:hAnsi="Arial"/>
                <w:b/>
                <w:bCs/>
                <w:color w:val="FFFFFF"/>
                <w:sz w:val="17"/>
                <w:szCs w:val="17"/>
              </w:rPr>
              <w:t xml:space="preserve">FY19</w:t>
            </w:r>
          </w:p>
        </w:tc>
        <w:tc>
          <w:tcPr>
            <w:tcW w:type="dxa" w:w="1150"/>
            <w:tcBorders>
              <w:top w:val="single" w:color="CCCCCC" w:sz="1"/>
              <w:left w:val="single" w:color="CCCCCC" w:sz="1"/>
              <w:bottom w:val="single" w:color="CCCCCC" w:sz="1"/>
              <w:right w:val="single" w:color="CCCCCC" w:sz="1"/>
            </w:tcBorders>
            <w:shd w:fill="0C447C" w:val="clear"/>
            <w:tcMar>
              <w:top w:type="dxa" w:w="50"/>
              <w:left w:type="dxa" w:w="60"/>
              <w:bottom w:type="dxa" w:w="50"/>
              <w:right w:type="dxa" w:w="60"/>
            </w:tcMar>
          </w:tcPr>
          <w:p>
            <w:pPr>
              <w:jc w:val="center"/>
            </w:pPr>
            <w:r>
              <w:rPr>
                <w:rFonts w:ascii="Arial" w:cs="Arial" w:eastAsia="Arial" w:hAnsi="Arial"/>
                <w:b/>
                <w:bCs/>
                <w:color w:val="FFFFFF"/>
                <w:sz w:val="17"/>
                <w:szCs w:val="17"/>
              </w:rPr>
              <w:t xml:space="preserve">FY20</w:t>
            </w:r>
          </w:p>
        </w:tc>
        <w:tc>
          <w:tcPr>
            <w:tcW w:type="dxa" w:w="1150"/>
            <w:tcBorders>
              <w:top w:val="single" w:color="CCCCCC" w:sz="1"/>
              <w:left w:val="single" w:color="CCCCCC" w:sz="1"/>
              <w:bottom w:val="single" w:color="CCCCCC" w:sz="1"/>
              <w:right w:val="single" w:color="CCCCCC" w:sz="1"/>
            </w:tcBorders>
            <w:shd w:fill="0C447C" w:val="clear"/>
            <w:tcMar>
              <w:top w:type="dxa" w:w="50"/>
              <w:left w:type="dxa" w:w="60"/>
              <w:bottom w:type="dxa" w:w="50"/>
              <w:right w:type="dxa" w:w="60"/>
            </w:tcMar>
          </w:tcPr>
          <w:p>
            <w:pPr>
              <w:jc w:val="center"/>
            </w:pPr>
            <w:r>
              <w:rPr>
                <w:rFonts w:ascii="Arial" w:cs="Arial" w:eastAsia="Arial" w:hAnsi="Arial"/>
                <w:b/>
                <w:bCs/>
                <w:color w:val="FFFFFF"/>
                <w:sz w:val="17"/>
                <w:szCs w:val="17"/>
              </w:rPr>
              <w:t xml:space="preserve">FY21</w:t>
            </w:r>
          </w:p>
        </w:tc>
        <w:tc>
          <w:tcPr>
            <w:tcW w:type="dxa" w:w="1150"/>
            <w:tcBorders>
              <w:top w:val="single" w:color="CCCCCC" w:sz="1"/>
              <w:left w:val="single" w:color="CCCCCC" w:sz="1"/>
              <w:bottom w:val="single" w:color="CCCCCC" w:sz="1"/>
              <w:right w:val="single" w:color="CCCCCC" w:sz="1"/>
            </w:tcBorders>
            <w:shd w:fill="0C447C" w:val="clear"/>
            <w:tcMar>
              <w:top w:type="dxa" w:w="50"/>
              <w:left w:type="dxa" w:w="60"/>
              <w:bottom w:type="dxa" w:w="50"/>
              <w:right w:type="dxa" w:w="60"/>
            </w:tcMar>
          </w:tcPr>
          <w:p>
            <w:pPr>
              <w:jc w:val="center"/>
            </w:pPr>
            <w:r>
              <w:rPr>
                <w:rFonts w:ascii="Arial" w:cs="Arial" w:eastAsia="Arial" w:hAnsi="Arial"/>
                <w:b/>
                <w:bCs/>
                <w:color w:val="FFFFFF"/>
                <w:sz w:val="17"/>
                <w:szCs w:val="17"/>
              </w:rPr>
              <w:t xml:space="preserve">FY22</w:t>
            </w:r>
          </w:p>
        </w:tc>
        <w:tc>
          <w:tcPr>
            <w:tcW w:type="dxa" w:w="1150"/>
            <w:tcBorders>
              <w:top w:val="single" w:color="CCCCCC" w:sz="1"/>
              <w:left w:val="single" w:color="CCCCCC" w:sz="1"/>
              <w:bottom w:val="single" w:color="CCCCCC" w:sz="1"/>
              <w:right w:val="single" w:color="CCCCCC" w:sz="1"/>
            </w:tcBorders>
            <w:shd w:fill="0C447C" w:val="clear"/>
            <w:tcMar>
              <w:top w:type="dxa" w:w="50"/>
              <w:left w:type="dxa" w:w="60"/>
              <w:bottom w:type="dxa" w:w="50"/>
              <w:right w:type="dxa" w:w="60"/>
            </w:tcMar>
          </w:tcPr>
          <w:p>
            <w:pPr>
              <w:jc w:val="center"/>
            </w:pPr>
            <w:r>
              <w:rPr>
                <w:rFonts w:ascii="Arial" w:cs="Arial" w:eastAsia="Arial" w:hAnsi="Arial"/>
                <w:b/>
                <w:bCs/>
                <w:color w:val="FFFFFF"/>
                <w:sz w:val="17"/>
                <w:szCs w:val="17"/>
              </w:rPr>
              <w:t xml:space="preserve">FY23</w:t>
            </w:r>
          </w:p>
        </w:tc>
        <w:tc>
          <w:tcPr>
            <w:tcW w:type="dxa" w:w="1150"/>
            <w:tcBorders>
              <w:top w:val="single" w:color="CCCCCC" w:sz="1"/>
              <w:left w:val="single" w:color="CCCCCC" w:sz="1"/>
              <w:bottom w:val="single" w:color="CCCCCC" w:sz="1"/>
              <w:right w:val="single" w:color="CCCCCC" w:sz="1"/>
            </w:tcBorders>
            <w:shd w:fill="0C447C" w:val="clear"/>
            <w:tcMar>
              <w:top w:type="dxa" w:w="50"/>
              <w:left w:type="dxa" w:w="60"/>
              <w:bottom w:type="dxa" w:w="50"/>
              <w:right w:type="dxa" w:w="60"/>
            </w:tcMar>
          </w:tcPr>
          <w:p>
            <w:pPr>
              <w:jc w:val="center"/>
            </w:pPr>
            <w:r>
              <w:rPr>
                <w:rFonts w:ascii="Arial" w:cs="Arial" w:eastAsia="Arial" w:hAnsi="Arial"/>
                <w:b/>
                <w:bCs/>
                <w:color w:val="FFFFFF"/>
                <w:sz w:val="17"/>
                <w:szCs w:val="17"/>
              </w:rPr>
              <w:t xml:space="preserve">FY24</w:t>
            </w:r>
          </w:p>
        </w:tc>
        <w:tc>
          <w:tcPr>
            <w:tcW w:type="dxa" w:w="1150"/>
            <w:tcBorders>
              <w:top w:val="single" w:color="CCCCCC" w:sz="1"/>
              <w:left w:val="single" w:color="CCCCCC" w:sz="1"/>
              <w:bottom w:val="single" w:color="CCCCCC" w:sz="1"/>
              <w:right w:val="single" w:color="CCCCCC" w:sz="1"/>
            </w:tcBorders>
            <w:shd w:fill="0C447C" w:val="clear"/>
            <w:tcMar>
              <w:top w:type="dxa" w:w="50"/>
              <w:left w:type="dxa" w:w="60"/>
              <w:bottom w:type="dxa" w:w="50"/>
              <w:right w:type="dxa" w:w="60"/>
            </w:tcMar>
          </w:tcPr>
          <w:p>
            <w:pPr>
              <w:jc w:val="center"/>
            </w:pPr>
            <w:r>
              <w:rPr>
                <w:rFonts w:ascii="Arial" w:cs="Arial" w:eastAsia="Arial" w:hAnsi="Arial"/>
                <w:b/>
                <w:bCs/>
                <w:color w:val="FFFFFF"/>
                <w:sz w:val="17"/>
                <w:szCs w:val="17"/>
              </w:rPr>
              <w:t xml:space="preserve">FY25</w:t>
            </w:r>
          </w:p>
        </w:tc>
      </w:tr>
      <w:tr>
        <w:tc>
          <w:tcPr>
            <w:tcW w:type="dxa" w:w="1300"/>
            <w:tcBorders>
              <w:top w:val="single" w:color="CCCCCC" w:sz="1"/>
              <w:left w:val="single" w:color="CCCCCC" w:sz="1"/>
              <w:bottom w:val="single" w:color="CCCCCC" w:sz="1"/>
              <w:right w:val="single" w:color="CCCCCC" w:sz="1"/>
            </w:tcBorders>
            <w:shd w:fill="F4F3EF" w:val="clear"/>
            <w:tcMar>
              <w:top w:type="dxa" w:w="50"/>
              <w:left w:type="dxa" w:w="60"/>
              <w:bottom w:type="dxa" w:w="50"/>
              <w:right w:type="dxa" w:w="60"/>
            </w:tcMar>
          </w:tcPr>
          <w:p>
            <w:pPr>
              <w:jc w:val="center"/>
            </w:pPr>
            <w:r>
              <w:rPr>
                <w:rFonts w:ascii="Arial" w:cs="Arial" w:eastAsia="Arial" w:hAnsi="Arial"/>
                <w:b/>
                <w:bCs/>
                <w:color w:val="0C447C"/>
                <w:sz w:val="17"/>
                <w:szCs w:val="17"/>
              </w:rPr>
              <w:t xml:space="preserve">FCF</w:t>
            </w:r>
          </w:p>
        </w:tc>
        <w:tc>
          <w:tcPr>
            <w:tcW w:type="dxa" w:w="1150"/>
            <w:tcBorders>
              <w:top w:val="single" w:color="CCCCCC" w:sz="1"/>
              <w:left w:val="single" w:color="CCCCCC" w:sz="1"/>
              <w:bottom w:val="single" w:color="CCCCCC" w:sz="1"/>
              <w:right w:val="single" w:color="CCCCCC" w:sz="1"/>
            </w:tcBorders>
            <w:shd w:fill="FFFFFF" w:val="clear"/>
            <w:tcMar>
              <w:top w:type="dxa" w:w="50"/>
              <w:left w:type="dxa" w:w="60"/>
              <w:bottom w:type="dxa" w:w="50"/>
              <w:right w:type="dxa" w:w="60"/>
            </w:tcMar>
          </w:tcPr>
          <w:p>
            <w:pPr>
              <w:jc w:val="center"/>
            </w:pPr>
            <w:r>
              <w:rPr>
                <w:rFonts w:ascii="Arial" w:cs="Arial" w:eastAsia="Arial" w:hAnsi="Arial"/>
                <w:b w:val="false"/>
                <w:bCs w:val="false"/>
                <w:color w:val="0C447C"/>
                <w:sz w:val="17"/>
                <w:szCs w:val="17"/>
              </w:rPr>
              <w:t xml:space="preserve">26,461</w:t>
            </w:r>
          </w:p>
        </w:tc>
        <w:tc>
          <w:tcPr>
            <w:tcW w:type="dxa" w:w="1150"/>
            <w:tcBorders>
              <w:top w:val="single" w:color="CCCCCC" w:sz="1"/>
              <w:left w:val="single" w:color="CCCCCC" w:sz="1"/>
              <w:bottom w:val="single" w:color="CCCCCC" w:sz="1"/>
              <w:right w:val="single" w:color="CCCCCC" w:sz="1"/>
            </w:tcBorders>
            <w:shd w:fill="F4F3EF" w:val="clear"/>
            <w:tcMar>
              <w:top w:type="dxa" w:w="50"/>
              <w:left w:type="dxa" w:w="60"/>
              <w:bottom w:type="dxa" w:w="50"/>
              <w:right w:type="dxa" w:w="60"/>
            </w:tcMar>
          </w:tcPr>
          <w:p>
            <w:pPr>
              <w:jc w:val="center"/>
            </w:pPr>
            <w:r>
              <w:rPr>
                <w:rFonts w:ascii="Arial" w:cs="Arial" w:eastAsia="Arial" w:hAnsi="Arial"/>
                <w:b w:val="false"/>
                <w:bCs w:val="false"/>
                <w:color w:val="0C447C"/>
                <w:sz w:val="17"/>
                <w:szCs w:val="17"/>
              </w:rPr>
              <w:t xml:space="preserve">29,281</w:t>
            </w:r>
          </w:p>
        </w:tc>
        <w:tc>
          <w:tcPr>
            <w:tcW w:type="dxa" w:w="1150"/>
            <w:tcBorders>
              <w:top w:val="single" w:color="CCCCCC" w:sz="1"/>
              <w:left w:val="single" w:color="CCCCCC" w:sz="1"/>
              <w:bottom w:val="single" w:color="CCCCCC" w:sz="1"/>
              <w:right w:val="single" w:color="CCCCCC" w:sz="1"/>
            </w:tcBorders>
            <w:shd w:fill="FFFFFF" w:val="clear"/>
            <w:tcMar>
              <w:top w:type="dxa" w:w="50"/>
              <w:left w:type="dxa" w:w="60"/>
              <w:bottom w:type="dxa" w:w="50"/>
              <w:right w:type="dxa" w:w="60"/>
            </w:tcMar>
          </w:tcPr>
          <w:p>
            <w:pPr>
              <w:jc w:val="center"/>
            </w:pPr>
            <w:r>
              <w:rPr>
                <w:rFonts w:ascii="Arial" w:cs="Arial" w:eastAsia="Arial" w:hAnsi="Arial"/>
                <w:b w:val="false"/>
                <w:bCs w:val="false"/>
                <w:color w:val="0C447C"/>
                <w:sz w:val="17"/>
                <w:szCs w:val="17"/>
              </w:rPr>
              <w:t xml:space="preserve">35,663</w:t>
            </w:r>
          </w:p>
        </w:tc>
        <w:tc>
          <w:tcPr>
            <w:tcW w:type="dxa" w:w="1150"/>
            <w:tcBorders>
              <w:top w:val="single" w:color="CCCCCC" w:sz="1"/>
              <w:left w:val="single" w:color="CCCCCC" w:sz="1"/>
              <w:bottom w:val="single" w:color="CCCCCC" w:sz="1"/>
              <w:right w:val="single" w:color="CCCCCC" w:sz="1"/>
            </w:tcBorders>
            <w:shd w:fill="F4F3EF" w:val="clear"/>
            <w:tcMar>
              <w:top w:type="dxa" w:w="50"/>
              <w:left w:type="dxa" w:w="60"/>
              <w:bottom w:type="dxa" w:w="50"/>
              <w:right w:type="dxa" w:w="60"/>
            </w:tcMar>
          </w:tcPr>
          <w:p>
            <w:pPr>
              <w:jc w:val="center"/>
            </w:pPr>
            <w:r>
              <w:rPr>
                <w:rFonts w:ascii="Arial" w:cs="Arial" w:eastAsia="Arial" w:hAnsi="Arial"/>
                <w:b w:val="false"/>
                <w:bCs w:val="false"/>
                <w:color w:val="0C447C"/>
                <w:sz w:val="17"/>
                <w:szCs w:val="17"/>
              </w:rPr>
              <w:t xml:space="preserve">36,985</w:t>
            </w:r>
          </w:p>
        </w:tc>
        <w:tc>
          <w:tcPr>
            <w:tcW w:type="dxa" w:w="1150"/>
            <w:tcBorders>
              <w:top w:val="single" w:color="CCCCCC" w:sz="1"/>
              <w:left w:val="single" w:color="CCCCCC" w:sz="1"/>
              <w:bottom w:val="single" w:color="CCCCCC" w:sz="1"/>
              <w:right w:val="single" w:color="CCCCCC" w:sz="1"/>
            </w:tcBorders>
            <w:shd w:fill="FFFFFF" w:val="clear"/>
            <w:tcMar>
              <w:top w:type="dxa" w:w="50"/>
              <w:left w:type="dxa" w:w="60"/>
              <w:bottom w:type="dxa" w:w="50"/>
              <w:right w:type="dxa" w:w="60"/>
            </w:tcMar>
          </w:tcPr>
          <w:p>
            <w:pPr>
              <w:jc w:val="center"/>
            </w:pPr>
            <w:r>
              <w:rPr>
                <w:rFonts w:ascii="Arial" w:cs="Arial" w:eastAsia="Arial" w:hAnsi="Arial"/>
                <w:b w:val="false"/>
                <w:bCs w:val="false"/>
                <w:color w:val="0C447C"/>
                <w:sz w:val="17"/>
                <w:szCs w:val="17"/>
              </w:rPr>
              <w:t xml:space="preserve">38,902</w:t>
            </w:r>
          </w:p>
        </w:tc>
        <w:tc>
          <w:tcPr>
            <w:tcW w:type="dxa" w:w="1150"/>
            <w:tcBorders>
              <w:top w:val="single" w:color="CCCCCC" w:sz="1"/>
              <w:left w:val="single" w:color="CCCCCC" w:sz="1"/>
              <w:bottom w:val="single" w:color="CCCCCC" w:sz="1"/>
              <w:right w:val="single" w:color="CCCCCC" w:sz="1"/>
            </w:tcBorders>
            <w:shd w:fill="F4F3EF" w:val="clear"/>
            <w:tcMar>
              <w:top w:type="dxa" w:w="50"/>
              <w:left w:type="dxa" w:w="60"/>
              <w:bottom w:type="dxa" w:w="50"/>
              <w:right w:type="dxa" w:w="60"/>
            </w:tcMar>
          </w:tcPr>
          <w:p>
            <w:pPr>
              <w:jc w:val="center"/>
            </w:pPr>
            <w:r>
              <w:rPr>
                <w:rFonts w:ascii="Arial" w:cs="Arial" w:eastAsia="Arial" w:hAnsi="Arial"/>
                <w:b w:val="false"/>
                <w:bCs w:val="false"/>
                <w:color w:val="0C447C"/>
                <w:sz w:val="17"/>
                <w:szCs w:val="17"/>
              </w:rPr>
              <w:t xml:space="preserve">41,688</w:t>
            </w:r>
          </w:p>
        </w:tc>
        <w:tc>
          <w:tcPr>
            <w:tcW w:type="dxa" w:w="1150"/>
            <w:tcBorders>
              <w:top w:val="single" w:color="CCCCCC" w:sz="1"/>
              <w:left w:val="single" w:color="CCCCCC" w:sz="1"/>
              <w:bottom w:val="single" w:color="CCCCCC" w:sz="1"/>
              <w:right w:val="single" w:color="CCCCCC" w:sz="1"/>
            </w:tcBorders>
            <w:shd w:fill="FFFFFF" w:val="clear"/>
            <w:tcMar>
              <w:top w:type="dxa" w:w="50"/>
              <w:left w:type="dxa" w:w="60"/>
              <w:bottom w:type="dxa" w:w="50"/>
              <w:right w:type="dxa" w:w="60"/>
            </w:tcMar>
          </w:tcPr>
          <w:p>
            <w:pPr>
              <w:jc w:val="center"/>
            </w:pPr>
            <w:r>
              <w:rPr>
                <w:rFonts w:ascii="Arial" w:cs="Arial" w:eastAsia="Arial" w:hAnsi="Arial"/>
                <w:b w:val="false"/>
                <w:bCs w:val="false"/>
                <w:color w:val="0C447C"/>
                <w:sz w:val="17"/>
                <w:szCs w:val="17"/>
              </w:rPr>
              <w:t xml:space="preserve">44,994</w:t>
            </w:r>
          </w:p>
        </w:tc>
        <w:tc>
          <w:tcPr>
            <w:tcW w:type="dxa" w:w="1150"/>
            <w:tcBorders>
              <w:top w:val="single" w:color="CCCCCC" w:sz="1"/>
              <w:left w:val="single" w:color="CCCCCC" w:sz="1"/>
              <w:bottom w:val="single" w:color="CCCCCC" w:sz="1"/>
              <w:right w:val="single" w:color="CCCCCC" w:sz="1"/>
            </w:tcBorders>
            <w:shd w:fill="F4F3EF" w:val="clear"/>
            <w:tcMar>
              <w:top w:type="dxa" w:w="50"/>
              <w:left w:type="dxa" w:w="60"/>
              <w:bottom w:type="dxa" w:w="50"/>
              <w:right w:type="dxa" w:w="60"/>
            </w:tcMar>
          </w:tcPr>
          <w:p>
            <w:pPr>
              <w:jc w:val="center"/>
            </w:pPr>
            <w:r>
              <w:rPr>
                <w:rFonts w:ascii="Arial" w:cs="Arial" w:eastAsia="Arial" w:hAnsi="Arial"/>
                <w:b w:val="false"/>
                <w:bCs w:val="false"/>
                <w:color w:val="0C447C"/>
                <w:sz w:val="17"/>
                <w:szCs w:val="17"/>
              </w:rPr>
              <w:t xml:space="preserve">48,013</w:t>
            </w:r>
          </w:p>
        </w:tc>
      </w:tr>
    </w:tbl>
    <w:p>
      <w:pPr>
        <w:spacing w:after="0" w:before="200"/>
      </w:pPr>
    </w:p>
    <w:p>
      <w:pPr>
        <w:pBdr>
          <w:left w:val="single" w:color="185FA5" w:sz="18" w:space="8"/>
        </w:pBdr>
        <w:shd w:fill="EEF5FC" w:val="clear"/>
        <w:spacing w:after="120" w:before="280"/>
        <w:ind w:left="120"/>
      </w:pPr>
      <w:r>
        <w:rPr>
          <w:rFonts w:ascii="Arial" w:cs="Arial" w:eastAsia="Arial" w:hAnsi="Arial"/>
          <w:b/>
          <w:bCs/>
          <w:color w:val="0C447C"/>
          <w:sz w:val="26"/>
          <w:szCs w:val="26"/>
        </w:rPr>
        <w:t xml:space="preserve">5. Return Ratios &amp; Dividends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nil"/>
            </w:tcBorders>
            <w:shd w:fill="F4F3EF" w:val="clear"/>
            <w:tcMar>
              <w:top w:type="dxa" w:w="60"/>
              <w:left w:type="dxa" w:w="120"/>
              <w:bottom w:type="dxa" w:w="60"/>
              <w:right w:type="dxa" w:w="80"/>
            </w:tcMar>
          </w:tcPr>
          <w:p>
            <w:r>
              <w:rPr>
                <w:rFonts w:ascii="Arial" w:cs="Arial" w:eastAsia="Arial" w:hAnsi="Arial"/>
                <w:color w:val="5F5E5A"/>
                <w:sz w:val="19"/>
                <w:szCs w:val="19"/>
              </w:rPr>
              <w:t xml:space="preserve">ROE — FY26</w:t>
            </w:r>
          </w:p>
        </w:tc>
        <w:tc>
          <w:tcPr>
            <w:tcW w:type="dxa" w:w="6160"/>
            <w:tcBorders>
              <w:top w:val="single" w:color="CCCCCC" w:sz="1"/>
              <w:left w:val="nil"/>
              <w:bottom w:val="single" w:color="CCCCCC" w:sz="1"/>
              <w:right w:val="single" w:color="CCCCCC" w:sz="1"/>
            </w:tcBorders>
            <w:tcMar>
              <w:top w:type="dxa" w:w="60"/>
              <w:left w:type="dxa" w:w="120"/>
              <w:bottom w:type="dxa" w:w="60"/>
              <w:right w:type="dxa" w:w="120"/>
            </w:tcMar>
          </w:tcPr>
          <w:p>
            <w:r>
              <w:rPr>
                <w:rFonts w:ascii="Arial" w:cs="Arial" w:eastAsia="Arial" w:hAnsi="Arial"/>
                <w:b/>
                <w:bCs/>
                <w:color w:val="3B6D11"/>
                <w:sz w:val="19"/>
                <w:szCs w:val="19"/>
              </w:rPr>
              <w:t xml:space="preserve">51.8% — Strong</w:t>
            </w:r>
          </w:p>
        </w:tc>
      </w:tr>
      <w:tr>
        <w:tc>
          <w:tcPr>
            <w:tcW w:type="dxa" w:w="3200"/>
            <w:tcBorders>
              <w:top w:val="single" w:color="CCCCCC" w:sz="1"/>
              <w:left w:val="single" w:color="CCCCCC" w:sz="1"/>
              <w:bottom w:val="single" w:color="CCCCCC" w:sz="1"/>
              <w:right w:val="nil"/>
            </w:tcBorders>
            <w:shd w:fill="F4F3EF" w:val="clear"/>
            <w:tcMar>
              <w:top w:type="dxa" w:w="60"/>
              <w:left w:type="dxa" w:w="120"/>
              <w:bottom w:type="dxa" w:w="60"/>
              <w:right w:type="dxa" w:w="80"/>
            </w:tcMar>
          </w:tcPr>
          <w:p>
            <w:r>
              <w:rPr>
                <w:rFonts w:ascii="Arial" w:cs="Arial" w:eastAsia="Arial" w:hAnsi="Arial"/>
                <w:color w:val="5F5E5A"/>
                <w:sz w:val="19"/>
                <w:szCs w:val="19"/>
              </w:rPr>
              <w:t xml:space="preserve">ROE — 3Y Average</w:t>
            </w:r>
          </w:p>
        </w:tc>
        <w:tc>
          <w:tcPr>
            <w:tcW w:type="dxa" w:w="6160"/>
            <w:tcBorders>
              <w:top w:val="single" w:color="CCCCCC" w:sz="1"/>
              <w:left w:val="nil"/>
              <w:bottom w:val="single" w:color="CCCCCC" w:sz="1"/>
              <w:right w:val="single" w:color="CCCCCC" w:sz="1"/>
            </w:tcBorders>
            <w:tcMar>
              <w:top w:type="dxa" w:w="60"/>
              <w:left w:type="dxa" w:w="120"/>
              <w:bottom w:type="dxa" w:w="60"/>
              <w:right w:type="dxa" w:w="120"/>
            </w:tcMar>
          </w:tcPr>
          <w:p>
            <w:r>
              <w:rPr>
                <w:rFonts w:ascii="Arial" w:cs="Arial" w:eastAsia="Arial" w:hAnsi="Arial"/>
                <w:b/>
                <w:bCs/>
                <w:color w:val="3B6D11"/>
                <w:sz w:val="19"/>
                <w:szCs w:val="19"/>
              </w:rPr>
              <w:t xml:space="preserve">51.9% — Very consistent</w:t>
            </w:r>
          </w:p>
        </w:tc>
      </w:tr>
      <w:tr>
        <w:tc>
          <w:tcPr>
            <w:tcW w:type="dxa" w:w="3200"/>
            <w:tcBorders>
              <w:top w:val="single" w:color="CCCCCC" w:sz="1"/>
              <w:left w:val="single" w:color="CCCCCC" w:sz="1"/>
              <w:bottom w:val="single" w:color="CCCCCC" w:sz="1"/>
              <w:right w:val="nil"/>
            </w:tcBorders>
            <w:shd w:fill="F4F3EF" w:val="clear"/>
            <w:tcMar>
              <w:top w:type="dxa" w:w="60"/>
              <w:left w:type="dxa" w:w="120"/>
              <w:bottom w:type="dxa" w:w="60"/>
              <w:right w:type="dxa" w:w="80"/>
            </w:tcMar>
          </w:tcPr>
          <w:p>
            <w:r>
              <w:rPr>
                <w:rFonts w:ascii="Arial" w:cs="Arial" w:eastAsia="Arial" w:hAnsi="Arial"/>
                <w:color w:val="5F5E5A"/>
                <w:sz w:val="19"/>
                <w:szCs w:val="19"/>
              </w:rPr>
              <w:t xml:space="preserve">ROE — 5Y Average</w:t>
            </w:r>
          </w:p>
        </w:tc>
        <w:tc>
          <w:tcPr>
            <w:tcW w:type="dxa" w:w="6160"/>
            <w:tcBorders>
              <w:top w:val="single" w:color="CCCCCC" w:sz="1"/>
              <w:left w:val="nil"/>
              <w:bottom w:val="single" w:color="CCCCCC" w:sz="1"/>
              <w:right w:val="single" w:color="CCCCCC" w:sz="1"/>
            </w:tcBorders>
            <w:tcMar>
              <w:top w:type="dxa" w:w="60"/>
              <w:left w:type="dxa" w:w="120"/>
              <w:bottom w:type="dxa" w:w="60"/>
              <w:right w:type="dxa" w:w="120"/>
            </w:tcMar>
          </w:tcPr>
          <w:p>
            <w:r>
              <w:rPr>
                <w:rFonts w:ascii="Arial" w:cs="Arial" w:eastAsia="Arial" w:hAnsi="Arial"/>
                <w:b/>
                <w:bCs/>
                <w:color w:val="3B6D11"/>
                <w:sz w:val="19"/>
                <w:szCs w:val="19"/>
              </w:rPr>
              <w:t xml:space="preserve">~49% — Improving trend</w:t>
            </w:r>
          </w:p>
        </w:tc>
      </w:tr>
      <w:tr>
        <w:tc>
          <w:tcPr>
            <w:tcW w:type="dxa" w:w="3200"/>
            <w:tcBorders>
              <w:top w:val="single" w:color="CCCCCC" w:sz="1"/>
              <w:left w:val="single" w:color="CCCCCC" w:sz="1"/>
              <w:bottom w:val="single" w:color="CCCCCC" w:sz="1"/>
              <w:right w:val="nil"/>
            </w:tcBorders>
            <w:shd w:fill="F4F3EF" w:val="clear"/>
            <w:tcMar>
              <w:top w:type="dxa" w:w="60"/>
              <w:left w:type="dxa" w:w="120"/>
              <w:bottom w:type="dxa" w:w="60"/>
              <w:right w:type="dxa" w:w="80"/>
            </w:tcMar>
          </w:tcPr>
          <w:p>
            <w:r>
              <w:rPr>
                <w:rFonts w:ascii="Arial" w:cs="Arial" w:eastAsia="Arial" w:hAnsi="Arial"/>
                <w:color w:val="5F5E5A"/>
                <w:sz w:val="19"/>
                <w:szCs w:val="19"/>
              </w:rPr>
              <w:t xml:space="preserve">ROCE — FY26</w:t>
            </w:r>
          </w:p>
        </w:tc>
        <w:tc>
          <w:tcPr>
            <w:tcW w:type="dxa" w:w="6160"/>
            <w:tcBorders>
              <w:top w:val="single" w:color="CCCCCC" w:sz="1"/>
              <w:left w:val="nil"/>
              <w:bottom w:val="single" w:color="CCCCCC" w:sz="1"/>
              <w:right w:val="single" w:color="CCCCCC" w:sz="1"/>
            </w:tcBorders>
            <w:tcMar>
              <w:top w:type="dxa" w:w="60"/>
              <w:left w:type="dxa" w:w="120"/>
              <w:bottom w:type="dxa" w:w="60"/>
              <w:right w:type="dxa" w:w="120"/>
            </w:tcMar>
          </w:tcPr>
          <w:p>
            <w:r>
              <w:rPr>
                <w:rFonts w:ascii="Arial" w:cs="Arial" w:eastAsia="Arial" w:hAnsi="Arial"/>
                <w:b/>
                <w:bCs/>
                <w:color w:val="3B6D11"/>
                <w:sz w:val="19"/>
                <w:szCs w:val="19"/>
              </w:rPr>
              <w:t xml:space="preserve">63% (up from 59% in FY23)</w:t>
            </w:r>
          </w:p>
        </w:tc>
      </w:tr>
      <w:tr>
        <w:tc>
          <w:tcPr>
            <w:tcW w:type="dxa" w:w="3200"/>
            <w:tcBorders>
              <w:top w:val="single" w:color="CCCCCC" w:sz="1"/>
              <w:left w:val="single" w:color="CCCCCC" w:sz="1"/>
              <w:bottom w:val="single" w:color="CCCCCC" w:sz="1"/>
              <w:right w:val="nil"/>
            </w:tcBorders>
            <w:shd w:fill="F4F3EF" w:val="clear"/>
            <w:tcMar>
              <w:top w:type="dxa" w:w="60"/>
              <w:left w:type="dxa" w:w="120"/>
              <w:bottom w:type="dxa" w:w="60"/>
              <w:right w:type="dxa" w:w="80"/>
            </w:tcMar>
          </w:tcPr>
          <w:p>
            <w:r>
              <w:rPr>
                <w:rFonts w:ascii="Arial" w:cs="Arial" w:eastAsia="Arial" w:hAnsi="Arial"/>
                <w:color w:val="5F5E5A"/>
                <w:sz w:val="19"/>
                <w:szCs w:val="19"/>
              </w:rPr>
              <w:t xml:space="preserve">EBIT Margin (Q4 FY26)</w:t>
            </w:r>
          </w:p>
        </w:tc>
        <w:tc>
          <w:tcPr>
            <w:tcW w:type="dxa" w:w="6160"/>
            <w:tcBorders>
              <w:top w:val="single" w:color="CCCCCC" w:sz="1"/>
              <w:left w:val="nil"/>
              <w:bottom w:val="single" w:color="CCCCCC" w:sz="1"/>
              <w:right w:val="single" w:color="CCCCCC" w:sz="1"/>
            </w:tcBorders>
            <w:tcMar>
              <w:top w:type="dxa" w:w="60"/>
              <w:left w:type="dxa" w:w="120"/>
              <w:bottom w:type="dxa" w:w="60"/>
              <w:right w:type="dxa" w:w="120"/>
            </w:tcMar>
          </w:tcPr>
          <w:p>
            <w:r>
              <w:rPr>
                <w:rFonts w:ascii="Arial" w:cs="Arial" w:eastAsia="Arial" w:hAnsi="Arial"/>
                <w:b/>
                <w:bCs/>
                <w:color w:val="185FA5"/>
                <w:sz w:val="19"/>
                <w:szCs w:val="19"/>
              </w:rPr>
              <w:t xml:space="preserve">25.3%</w:t>
            </w:r>
          </w:p>
        </w:tc>
      </w:tr>
      <w:tr>
        <w:tc>
          <w:tcPr>
            <w:tcW w:type="dxa" w:w="3200"/>
            <w:tcBorders>
              <w:top w:val="single" w:color="CCCCCC" w:sz="1"/>
              <w:left w:val="single" w:color="CCCCCC" w:sz="1"/>
              <w:bottom w:val="single" w:color="CCCCCC" w:sz="1"/>
              <w:right w:val="nil"/>
            </w:tcBorders>
            <w:shd w:fill="F4F3EF" w:val="clear"/>
            <w:tcMar>
              <w:top w:type="dxa" w:w="60"/>
              <w:left w:type="dxa" w:w="120"/>
              <w:bottom w:type="dxa" w:w="60"/>
              <w:right w:type="dxa" w:w="80"/>
            </w:tcMar>
          </w:tcPr>
          <w:p>
            <w:r>
              <w:rPr>
                <w:rFonts w:ascii="Arial" w:cs="Arial" w:eastAsia="Arial" w:hAnsi="Arial"/>
                <w:color w:val="5F5E5A"/>
                <w:sz w:val="19"/>
                <w:szCs w:val="19"/>
              </w:rPr>
              <w:t xml:space="preserve">Net Margin FY26</w:t>
            </w:r>
          </w:p>
        </w:tc>
        <w:tc>
          <w:tcPr>
            <w:tcW w:type="dxa" w:w="6160"/>
            <w:tcBorders>
              <w:top w:val="single" w:color="CCCCCC" w:sz="1"/>
              <w:left w:val="nil"/>
              <w:bottom w:val="single" w:color="CCCCCC" w:sz="1"/>
              <w:right w:val="single" w:color="CCCCCC" w:sz="1"/>
            </w:tcBorders>
            <w:tcMar>
              <w:top w:type="dxa" w:w="60"/>
              <w:left w:type="dxa" w:w="120"/>
              <w:bottom w:type="dxa" w:w="60"/>
              <w:right w:type="dxa" w:w="120"/>
            </w:tcMar>
          </w:tcPr>
          <w:p>
            <w:r>
              <w:rPr>
                <w:rFonts w:ascii="Arial" w:cs="Arial" w:eastAsia="Arial" w:hAnsi="Arial"/>
                <w:b/>
                <w:bCs/>
                <w:color w:val="185FA5"/>
                <w:sz w:val="19"/>
                <w:szCs w:val="19"/>
              </w:rPr>
              <w:t xml:space="preserve">~18.5% — Consistent</w:t>
            </w:r>
          </w:p>
        </w:tc>
      </w:tr>
      <w:tr>
        <w:tc>
          <w:tcPr>
            <w:tcW w:type="dxa" w:w="3200"/>
            <w:tcBorders>
              <w:top w:val="single" w:color="CCCCCC" w:sz="1"/>
              <w:left w:val="single" w:color="CCCCCC" w:sz="1"/>
              <w:bottom w:val="single" w:color="CCCCCC" w:sz="1"/>
              <w:right w:val="nil"/>
            </w:tcBorders>
            <w:shd w:fill="F4F3EF" w:val="clear"/>
            <w:tcMar>
              <w:top w:type="dxa" w:w="60"/>
              <w:left w:type="dxa" w:w="120"/>
              <w:bottom w:type="dxa" w:w="60"/>
              <w:right w:type="dxa" w:w="80"/>
            </w:tcMar>
          </w:tcPr>
          <w:p>
            <w:r>
              <w:rPr>
                <w:rFonts w:ascii="Arial" w:cs="Arial" w:eastAsia="Arial" w:hAnsi="Arial"/>
                <w:color w:val="5F5E5A"/>
                <w:sz w:val="19"/>
                <w:szCs w:val="19"/>
              </w:rPr>
              <w:t xml:space="preserve">FY26 Dividend Per Share</w:t>
            </w:r>
          </w:p>
        </w:tc>
        <w:tc>
          <w:tcPr>
            <w:tcW w:type="dxa" w:w="6160"/>
            <w:tcBorders>
              <w:top w:val="single" w:color="CCCCCC" w:sz="1"/>
              <w:left w:val="nil"/>
              <w:bottom w:val="single" w:color="CCCCCC" w:sz="1"/>
              <w:right w:val="single" w:color="CCCCCC" w:sz="1"/>
            </w:tcBorders>
            <w:tcMar>
              <w:top w:type="dxa" w:w="60"/>
              <w:left w:type="dxa" w:w="120"/>
              <w:bottom w:type="dxa" w:w="60"/>
              <w:right w:type="dxa" w:w="120"/>
            </w:tcMar>
          </w:tcPr>
          <w:p>
            <w:r>
              <w:rPr>
                <w:rFonts w:ascii="Arial" w:cs="Arial" w:eastAsia="Arial" w:hAnsi="Arial"/>
                <w:b/>
                <w:bCs/>
                <w:color w:val="185FA5"/>
                <w:sz w:val="19"/>
                <w:szCs w:val="19"/>
              </w:rPr>
              <w:t xml:space="preserve">₹110/share (Total FY26)</w:t>
            </w:r>
          </w:p>
        </w:tc>
      </w:tr>
      <w:tr>
        <w:tc>
          <w:tcPr>
            <w:tcW w:type="dxa" w:w="3200"/>
            <w:tcBorders>
              <w:top w:val="single" w:color="CCCCCC" w:sz="1"/>
              <w:left w:val="single" w:color="CCCCCC" w:sz="1"/>
              <w:bottom w:val="single" w:color="CCCCCC" w:sz="1"/>
              <w:right w:val="nil"/>
            </w:tcBorders>
            <w:shd w:fill="F4F3EF" w:val="clear"/>
            <w:tcMar>
              <w:top w:type="dxa" w:w="60"/>
              <w:left w:type="dxa" w:w="120"/>
              <w:bottom w:type="dxa" w:w="60"/>
              <w:right w:type="dxa" w:w="80"/>
            </w:tcMar>
          </w:tcPr>
          <w:p>
            <w:r>
              <w:rPr>
                <w:rFonts w:ascii="Arial" w:cs="Arial" w:eastAsia="Arial" w:hAnsi="Arial"/>
                <w:color w:val="5F5E5A"/>
                <w:sz w:val="19"/>
                <w:szCs w:val="19"/>
              </w:rPr>
              <w:t xml:space="preserve">Dividend Payout (₹ Cr)</w:t>
            </w:r>
          </w:p>
        </w:tc>
        <w:tc>
          <w:tcPr>
            <w:tcW w:type="dxa" w:w="6160"/>
            <w:tcBorders>
              <w:top w:val="single" w:color="CCCCCC" w:sz="1"/>
              <w:left w:val="nil"/>
              <w:bottom w:val="single" w:color="CCCCCC" w:sz="1"/>
              <w:right w:val="single" w:color="CCCCCC" w:sz="1"/>
            </w:tcBorders>
            <w:tcMar>
              <w:top w:type="dxa" w:w="60"/>
              <w:left w:type="dxa" w:w="120"/>
              <w:bottom w:type="dxa" w:w="60"/>
              <w:right w:type="dxa" w:w="120"/>
            </w:tcMar>
          </w:tcPr>
          <w:p>
            <w:r>
              <w:rPr>
                <w:rFonts w:ascii="Arial" w:cs="Arial" w:eastAsia="Arial" w:hAnsi="Arial"/>
                <w:b/>
                <w:bCs/>
                <w:color w:val="185FA5"/>
                <w:sz w:val="19"/>
                <w:szCs w:val="19"/>
              </w:rPr>
              <w:t xml:space="preserve">₹39,571 Cr — Payout ratio ~81%</w:t>
            </w:r>
          </w:p>
        </w:tc>
      </w:tr>
      <w:tr>
        <w:tc>
          <w:tcPr>
            <w:tcW w:type="dxa" w:w="3200"/>
            <w:tcBorders>
              <w:top w:val="single" w:color="CCCCCC" w:sz="1"/>
              <w:left w:val="single" w:color="CCCCCC" w:sz="1"/>
              <w:bottom w:val="single" w:color="CCCCCC" w:sz="1"/>
              <w:right w:val="nil"/>
            </w:tcBorders>
            <w:shd w:fill="F4F3EF" w:val="clear"/>
            <w:tcMar>
              <w:top w:type="dxa" w:w="60"/>
              <w:left w:type="dxa" w:w="120"/>
              <w:bottom w:type="dxa" w:w="60"/>
              <w:right w:type="dxa" w:w="80"/>
            </w:tcMar>
          </w:tcPr>
          <w:p>
            <w:r>
              <w:rPr>
                <w:rFonts w:ascii="Arial" w:cs="Arial" w:eastAsia="Arial" w:hAnsi="Arial"/>
                <w:color w:val="5F5E5A"/>
                <w:sz w:val="19"/>
                <w:szCs w:val="19"/>
              </w:rPr>
              <w:t xml:space="preserve">Dividend Yield at CMP</w:t>
            </w:r>
          </w:p>
        </w:tc>
        <w:tc>
          <w:tcPr>
            <w:tcW w:type="dxa" w:w="6160"/>
            <w:tcBorders>
              <w:top w:val="single" w:color="CCCCCC" w:sz="1"/>
              <w:left w:val="nil"/>
              <w:bottom w:val="single" w:color="CCCCCC" w:sz="1"/>
              <w:right w:val="single" w:color="CCCCCC" w:sz="1"/>
            </w:tcBorders>
            <w:tcMar>
              <w:top w:type="dxa" w:w="60"/>
              <w:left w:type="dxa" w:w="120"/>
              <w:bottom w:type="dxa" w:w="60"/>
              <w:right w:type="dxa" w:w="120"/>
            </w:tcMar>
          </w:tcPr>
          <w:p>
            <w:r>
              <w:rPr>
                <w:rFonts w:ascii="Arial" w:cs="Arial" w:eastAsia="Arial" w:hAnsi="Arial"/>
                <w:b/>
                <w:bCs/>
                <w:color w:val="3B6D11"/>
                <w:sz w:val="19"/>
                <w:szCs w:val="19"/>
              </w:rPr>
              <w:t xml:space="preserve">5.2% — Very attractive for income investors</w:t>
            </w:r>
          </w:p>
        </w:tc>
      </w:tr>
      <w:tr>
        <w:tc>
          <w:tcPr>
            <w:tcW w:type="dxa" w:w="3200"/>
            <w:tcBorders>
              <w:top w:val="single" w:color="CCCCCC" w:sz="1"/>
              <w:left w:val="single" w:color="CCCCCC" w:sz="1"/>
              <w:bottom w:val="single" w:color="CCCCCC" w:sz="1"/>
              <w:right w:val="nil"/>
            </w:tcBorders>
            <w:shd w:fill="F4F3EF" w:val="clear"/>
            <w:tcMar>
              <w:top w:type="dxa" w:w="60"/>
              <w:left w:type="dxa" w:w="120"/>
              <w:bottom w:type="dxa" w:w="60"/>
              <w:right w:type="dxa" w:w="80"/>
            </w:tcMar>
          </w:tcPr>
          <w:p>
            <w:r>
              <w:rPr>
                <w:rFonts w:ascii="Arial" w:cs="Arial" w:eastAsia="Arial" w:hAnsi="Arial"/>
                <w:color w:val="5F5E5A"/>
                <w:sz w:val="19"/>
                <w:szCs w:val="19"/>
              </w:rPr>
              <w:t xml:space="preserve">Promoter Pledge</w:t>
            </w:r>
          </w:p>
        </w:tc>
        <w:tc>
          <w:tcPr>
            <w:tcW w:type="dxa" w:w="6160"/>
            <w:tcBorders>
              <w:top w:val="single" w:color="CCCCCC" w:sz="1"/>
              <w:left w:val="nil"/>
              <w:bottom w:val="single" w:color="CCCCCC" w:sz="1"/>
              <w:right w:val="single" w:color="CCCCCC" w:sz="1"/>
            </w:tcBorders>
            <w:tcMar>
              <w:top w:type="dxa" w:w="60"/>
              <w:left w:type="dxa" w:w="120"/>
              <w:bottom w:type="dxa" w:w="60"/>
              <w:right w:type="dxa" w:w="120"/>
            </w:tcMar>
          </w:tcPr>
          <w:p>
            <w:r>
              <w:rPr>
                <w:rFonts w:ascii="Arial" w:cs="Arial" w:eastAsia="Arial" w:hAnsi="Arial"/>
                <w:b/>
                <w:bCs/>
                <w:color w:val="3B6D11"/>
                <w:sz w:val="19"/>
                <w:szCs w:val="19"/>
              </w:rPr>
              <w:t xml:space="preserve">NIL — Zero pledge</w:t>
            </w:r>
          </w:p>
        </w:tc>
      </w:tr>
    </w:tbl>
    <w:p>
      <w:pPr>
        <w:spacing w:after="0" w:before="80"/>
      </w:pPr>
    </w:p>
    <w:p>
      <w:pPr>
        <w:spacing w:after="80" w:before="200"/>
      </w:pPr>
      <w:r>
        <w:rPr>
          <w:rFonts w:ascii="Arial" w:cs="Arial" w:eastAsia="Arial" w:hAnsi="Arial"/>
          <w:b/>
          <w:bCs/>
          <w:color w:val="185FA5"/>
          <w:sz w:val="22"/>
          <w:szCs w:val="22"/>
        </w:rPr>
        <w:t xml:space="preserve">Stock Price Returns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nil"/>
            </w:tcBorders>
            <w:shd w:fill="F4F3EF" w:val="clear"/>
            <w:tcMar>
              <w:top w:type="dxa" w:w="60"/>
              <w:left w:type="dxa" w:w="120"/>
              <w:bottom w:type="dxa" w:w="60"/>
              <w:right w:type="dxa" w:w="80"/>
            </w:tcMar>
          </w:tcPr>
          <w:p>
            <w:r>
              <w:rPr>
                <w:rFonts w:ascii="Arial" w:cs="Arial" w:eastAsia="Arial" w:hAnsi="Arial"/>
                <w:color w:val="5F5E5A"/>
                <w:sz w:val="19"/>
                <w:szCs w:val="19"/>
              </w:rPr>
              <w:t xml:space="preserve">1 Year Return</w:t>
            </w:r>
          </w:p>
        </w:tc>
        <w:tc>
          <w:tcPr>
            <w:tcW w:type="dxa" w:w="6160"/>
            <w:tcBorders>
              <w:top w:val="single" w:color="CCCCCC" w:sz="1"/>
              <w:left w:val="nil"/>
              <w:bottom w:val="single" w:color="CCCCCC" w:sz="1"/>
              <w:right w:val="single" w:color="CCCCCC" w:sz="1"/>
            </w:tcBorders>
            <w:tcMar>
              <w:top w:type="dxa" w:w="60"/>
              <w:left w:type="dxa" w:w="120"/>
              <w:bottom w:type="dxa" w:w="60"/>
              <w:right w:type="dxa" w:w="120"/>
            </w:tcMar>
          </w:tcPr>
          <w:p>
            <w:r>
              <w:rPr>
                <w:rFonts w:ascii="Arial" w:cs="Arial" w:eastAsia="Arial" w:hAnsi="Arial"/>
                <w:b/>
                <w:bCs/>
                <w:color w:val="A32D2D"/>
                <w:sz w:val="19"/>
                <w:szCs w:val="19"/>
              </w:rPr>
              <w:t xml:space="preserve">−35% (stock correction)</w:t>
            </w:r>
          </w:p>
        </w:tc>
      </w:tr>
      <w:tr>
        <w:tc>
          <w:tcPr>
            <w:tcW w:type="dxa" w:w="3200"/>
            <w:tcBorders>
              <w:top w:val="single" w:color="CCCCCC" w:sz="1"/>
              <w:left w:val="single" w:color="CCCCCC" w:sz="1"/>
              <w:bottom w:val="single" w:color="CCCCCC" w:sz="1"/>
              <w:right w:val="nil"/>
            </w:tcBorders>
            <w:shd w:fill="F4F3EF" w:val="clear"/>
            <w:tcMar>
              <w:top w:type="dxa" w:w="60"/>
              <w:left w:type="dxa" w:w="120"/>
              <w:bottom w:type="dxa" w:w="60"/>
              <w:right w:type="dxa" w:w="80"/>
            </w:tcMar>
          </w:tcPr>
          <w:p>
            <w:r>
              <w:rPr>
                <w:rFonts w:ascii="Arial" w:cs="Arial" w:eastAsia="Arial" w:hAnsi="Arial"/>
                <w:color w:val="5F5E5A"/>
                <w:sz w:val="19"/>
                <w:szCs w:val="19"/>
              </w:rPr>
              <w:t xml:space="preserve">3 Year CAGR</w:t>
            </w:r>
          </w:p>
        </w:tc>
        <w:tc>
          <w:tcPr>
            <w:tcW w:type="dxa" w:w="6160"/>
            <w:tcBorders>
              <w:top w:val="single" w:color="CCCCCC" w:sz="1"/>
              <w:left w:val="nil"/>
              <w:bottom w:val="single" w:color="CCCCCC" w:sz="1"/>
              <w:right w:val="single" w:color="CCCCCC" w:sz="1"/>
            </w:tcBorders>
            <w:tcMar>
              <w:top w:type="dxa" w:w="60"/>
              <w:left w:type="dxa" w:w="120"/>
              <w:bottom w:type="dxa" w:w="60"/>
              <w:right w:type="dxa" w:w="120"/>
            </w:tcMar>
          </w:tcPr>
          <w:p>
            <w:r>
              <w:rPr>
                <w:rFonts w:ascii="Arial" w:cs="Arial" w:eastAsia="Arial" w:hAnsi="Arial"/>
                <w:b/>
                <w:bCs/>
                <w:color w:val="A32D2D"/>
                <w:sz w:val="19"/>
                <w:szCs w:val="19"/>
              </w:rPr>
              <w:t xml:space="preserve">−7% CAGR</w:t>
            </w:r>
          </w:p>
        </w:tc>
      </w:tr>
      <w:tr>
        <w:tc>
          <w:tcPr>
            <w:tcW w:type="dxa" w:w="3200"/>
            <w:tcBorders>
              <w:top w:val="single" w:color="CCCCCC" w:sz="1"/>
              <w:left w:val="single" w:color="CCCCCC" w:sz="1"/>
              <w:bottom w:val="single" w:color="CCCCCC" w:sz="1"/>
              <w:right w:val="nil"/>
            </w:tcBorders>
            <w:shd w:fill="F4F3EF" w:val="clear"/>
            <w:tcMar>
              <w:top w:type="dxa" w:w="60"/>
              <w:left w:type="dxa" w:w="120"/>
              <w:bottom w:type="dxa" w:w="60"/>
              <w:right w:type="dxa" w:w="80"/>
            </w:tcMar>
          </w:tcPr>
          <w:p>
            <w:r>
              <w:rPr>
                <w:rFonts w:ascii="Arial" w:cs="Arial" w:eastAsia="Arial" w:hAnsi="Arial"/>
                <w:color w:val="5F5E5A"/>
                <w:sz w:val="19"/>
                <w:szCs w:val="19"/>
              </w:rPr>
              <w:t xml:space="preserve">5 Year CAGR</w:t>
            </w:r>
          </w:p>
        </w:tc>
        <w:tc>
          <w:tcPr>
            <w:tcW w:type="dxa" w:w="6160"/>
            <w:tcBorders>
              <w:top w:val="single" w:color="CCCCCC" w:sz="1"/>
              <w:left w:val="nil"/>
              <w:bottom w:val="single" w:color="CCCCCC" w:sz="1"/>
              <w:right w:val="single" w:color="CCCCCC" w:sz="1"/>
            </w:tcBorders>
            <w:tcMar>
              <w:top w:type="dxa" w:w="60"/>
              <w:left w:type="dxa" w:w="120"/>
              <w:bottom w:type="dxa" w:w="60"/>
              <w:right w:type="dxa" w:w="120"/>
            </w:tcMar>
          </w:tcPr>
          <w:p>
            <w:r>
              <w:rPr>
                <w:rFonts w:ascii="Arial" w:cs="Arial" w:eastAsia="Arial" w:hAnsi="Arial"/>
                <w:b/>
                <w:bCs/>
                <w:color w:val="854F0B"/>
                <w:sz w:val="19"/>
                <w:szCs w:val="19"/>
              </w:rPr>
              <w:t xml:space="preserve">−4% CAGR</w:t>
            </w:r>
          </w:p>
        </w:tc>
      </w:tr>
      <w:tr>
        <w:tc>
          <w:tcPr>
            <w:tcW w:type="dxa" w:w="3200"/>
            <w:tcBorders>
              <w:top w:val="single" w:color="CCCCCC" w:sz="1"/>
              <w:left w:val="single" w:color="CCCCCC" w:sz="1"/>
              <w:bottom w:val="single" w:color="CCCCCC" w:sz="1"/>
              <w:right w:val="nil"/>
            </w:tcBorders>
            <w:shd w:fill="F4F3EF" w:val="clear"/>
            <w:tcMar>
              <w:top w:type="dxa" w:w="60"/>
              <w:left w:type="dxa" w:w="120"/>
              <w:bottom w:type="dxa" w:w="60"/>
              <w:right w:type="dxa" w:w="80"/>
            </w:tcMar>
          </w:tcPr>
          <w:p>
            <w:r>
              <w:rPr>
                <w:rFonts w:ascii="Arial" w:cs="Arial" w:eastAsia="Arial" w:hAnsi="Arial"/>
                <w:color w:val="5F5E5A"/>
                <w:sz w:val="19"/>
                <w:szCs w:val="19"/>
              </w:rPr>
              <w:t xml:space="preserve">10 Year CAGR</w:t>
            </w:r>
          </w:p>
        </w:tc>
        <w:tc>
          <w:tcPr>
            <w:tcW w:type="dxa" w:w="6160"/>
            <w:tcBorders>
              <w:top w:val="single" w:color="CCCCCC" w:sz="1"/>
              <w:left w:val="nil"/>
              <w:bottom w:val="single" w:color="CCCCCC" w:sz="1"/>
              <w:right w:val="single" w:color="CCCCCC" w:sz="1"/>
            </w:tcBorders>
            <w:tcMar>
              <w:top w:type="dxa" w:w="60"/>
              <w:left w:type="dxa" w:w="120"/>
              <w:bottom w:type="dxa" w:w="60"/>
              <w:right w:type="dxa" w:w="120"/>
            </w:tcMar>
          </w:tcPr>
          <w:p>
            <w:r>
              <w:rPr>
                <w:rFonts w:ascii="Arial" w:cs="Arial" w:eastAsia="Arial" w:hAnsi="Arial"/>
                <w:b/>
                <w:bCs/>
                <w:color w:val="3B6D11"/>
                <w:sz w:val="19"/>
                <w:szCs w:val="19"/>
              </w:rPr>
              <w:t xml:space="preserve">+8% CAGR (long-term wealth creator)</w:t>
            </w:r>
          </w:p>
        </w:tc>
      </w:tr>
    </w:tbl>
    <w:p>
      <w:pPr>
        <w:spacing w:after="0" w:before="60"/>
      </w:pPr>
    </w:p>
    <w:p>
      <w:pPr>
        <w:spacing w:after="60" w:before="60"/>
      </w:pPr>
      <w:r>
        <w:rPr>
          <w:rFonts w:ascii="Arial" w:cs="Arial" w:eastAsia="Arial" w:hAnsi="Arial"/>
          <w:i/>
          <w:iCs/>
          <w:color w:val="5F5E5A"/>
          <w:sz w:val="18"/>
          <w:szCs w:val="18"/>
        </w:rPr>
        <w:t xml:space="preserve">Note: Stock has corrected ~53% from its all-time high of ~₹4,500. Fundamental quality has not deteriorated proportionally. The correction is valuation-driven, not earnings-driven.</w:t>
      </w:r>
    </w:p>
    <w:p>
      <w:pPr>
        <w:spacing w:after="0" w:before="200"/>
      </w:pPr>
    </w:p>
    <w:p>
      <w:pPr>
        <w:pBdr>
          <w:left w:val="single" w:color="185FA5" w:sz="18" w:space="8"/>
        </w:pBdr>
        <w:shd w:fill="EEF5FC" w:val="clear"/>
        <w:spacing w:after="120" w:before="280"/>
        <w:ind w:left="120"/>
      </w:pPr>
      <w:r>
        <w:rPr>
          <w:rFonts w:ascii="Arial" w:cs="Arial" w:eastAsia="Arial" w:hAnsi="Arial"/>
          <w:b/>
          <w:bCs/>
          <w:color w:val="0C447C"/>
          <w:sz w:val="26"/>
          <w:szCs w:val="26"/>
        </w:rPr>
        <w:t xml:space="preserve">6. Peer Comparison</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560"/>
        <w:gridCol w:w="900"/>
        <w:gridCol w:w="900"/>
        <w:gridCol w:w="900"/>
        <w:gridCol w:w="1000"/>
        <w:gridCol w:w="1500"/>
        <w:gridCol w:w="800"/>
      </w:tblGrid>
      <w:tr>
        <w:tc>
          <w:tcPr>
            <w:tcW w:type="dxa" w:w="1800"/>
            <w:tcBorders>
              <w:top w:val="single" w:color="CCCCCC" w:sz="1"/>
              <w:left w:val="single" w:color="CCCCCC" w:sz="1"/>
              <w:bottom w:val="single" w:color="CCCCCC" w:sz="1"/>
              <w:right w:val="single" w:color="CCCCCC" w:sz="1"/>
            </w:tcBorders>
            <w:shd w:fill="0C447C" w:val="clear"/>
            <w:tcMar>
              <w:top w:type="dxa" w:w="50"/>
              <w:left w:type="dxa" w:w="80"/>
              <w:bottom w:type="dxa" w:w="50"/>
              <w:right w:type="dxa" w:w="80"/>
            </w:tcMar>
          </w:tcPr>
          <w:p>
            <w:pPr>
              <w:jc w:val="left"/>
            </w:pPr>
            <w:r>
              <w:rPr>
                <w:rFonts w:ascii="Arial" w:cs="Arial" w:eastAsia="Arial" w:hAnsi="Arial"/>
                <w:b/>
                <w:bCs/>
                <w:color w:val="FFFFFF"/>
                <w:sz w:val="17"/>
                <w:szCs w:val="17"/>
              </w:rPr>
              <w:t xml:space="preserve">Company</w:t>
            </w:r>
          </w:p>
        </w:tc>
        <w:tc>
          <w:tcPr>
            <w:tcW w:type="dxa" w:w="1560"/>
            <w:tcBorders>
              <w:top w:val="single" w:color="CCCCCC" w:sz="1"/>
              <w:left w:val="single" w:color="CCCCCC" w:sz="1"/>
              <w:bottom w:val="single" w:color="CCCCCC" w:sz="1"/>
              <w:right w:val="single" w:color="CCCCCC" w:sz="1"/>
            </w:tcBorders>
            <w:shd w:fill="0C447C" w:val="clear"/>
            <w:tcMar>
              <w:top w:type="dxa" w:w="50"/>
              <w:left w:type="dxa" w:w="80"/>
              <w:bottom w:type="dxa" w:w="50"/>
              <w:right w:type="dxa" w:w="80"/>
            </w:tcMar>
          </w:tcPr>
          <w:p>
            <w:pPr>
              <w:jc w:val="center"/>
            </w:pPr>
            <w:r>
              <w:rPr>
                <w:rFonts w:ascii="Arial" w:cs="Arial" w:eastAsia="Arial" w:hAnsi="Arial"/>
                <w:b/>
                <w:bCs/>
                <w:color w:val="FFFFFF"/>
                <w:sz w:val="17"/>
                <w:szCs w:val="17"/>
              </w:rPr>
              <w:t xml:space="preserve">Mkt Cap (Cr)</w:t>
            </w:r>
          </w:p>
        </w:tc>
        <w:tc>
          <w:tcPr>
            <w:tcW w:type="dxa" w:w="900"/>
            <w:tcBorders>
              <w:top w:val="single" w:color="CCCCCC" w:sz="1"/>
              <w:left w:val="single" w:color="CCCCCC" w:sz="1"/>
              <w:bottom w:val="single" w:color="CCCCCC" w:sz="1"/>
              <w:right w:val="single" w:color="CCCCCC" w:sz="1"/>
            </w:tcBorders>
            <w:shd w:fill="0C447C" w:val="clear"/>
            <w:tcMar>
              <w:top w:type="dxa" w:w="50"/>
              <w:left w:type="dxa" w:w="80"/>
              <w:bottom w:type="dxa" w:w="50"/>
              <w:right w:type="dxa" w:w="80"/>
            </w:tcMar>
          </w:tcPr>
          <w:p>
            <w:pPr>
              <w:jc w:val="center"/>
            </w:pPr>
            <w:r>
              <w:rPr>
                <w:rFonts w:ascii="Arial" w:cs="Arial" w:eastAsia="Arial" w:hAnsi="Arial"/>
                <w:b/>
                <w:bCs/>
                <w:color w:val="FFFFFF"/>
                <w:sz w:val="17"/>
                <w:szCs w:val="17"/>
              </w:rPr>
              <w:t xml:space="preserve">P/E</w:t>
            </w:r>
          </w:p>
        </w:tc>
        <w:tc>
          <w:tcPr>
            <w:tcW w:type="dxa" w:w="900"/>
            <w:tcBorders>
              <w:top w:val="single" w:color="CCCCCC" w:sz="1"/>
              <w:left w:val="single" w:color="CCCCCC" w:sz="1"/>
              <w:bottom w:val="single" w:color="CCCCCC" w:sz="1"/>
              <w:right w:val="single" w:color="CCCCCC" w:sz="1"/>
            </w:tcBorders>
            <w:shd w:fill="0C447C" w:val="clear"/>
            <w:tcMar>
              <w:top w:type="dxa" w:w="50"/>
              <w:left w:type="dxa" w:w="80"/>
              <w:bottom w:type="dxa" w:w="50"/>
              <w:right w:type="dxa" w:w="80"/>
            </w:tcMar>
          </w:tcPr>
          <w:p>
            <w:pPr>
              <w:jc w:val="center"/>
            </w:pPr>
            <w:r>
              <w:rPr>
                <w:rFonts w:ascii="Arial" w:cs="Arial" w:eastAsia="Arial" w:hAnsi="Arial"/>
                <w:b/>
                <w:bCs/>
                <w:color w:val="FFFFFF"/>
                <w:sz w:val="17"/>
                <w:szCs w:val="17"/>
              </w:rPr>
              <w:t xml:space="preserve">P/B</w:t>
            </w:r>
          </w:p>
        </w:tc>
        <w:tc>
          <w:tcPr>
            <w:tcW w:type="dxa" w:w="900"/>
            <w:tcBorders>
              <w:top w:val="single" w:color="CCCCCC" w:sz="1"/>
              <w:left w:val="single" w:color="CCCCCC" w:sz="1"/>
              <w:bottom w:val="single" w:color="CCCCCC" w:sz="1"/>
              <w:right w:val="single" w:color="CCCCCC" w:sz="1"/>
            </w:tcBorders>
            <w:shd w:fill="0C447C" w:val="clear"/>
            <w:tcMar>
              <w:top w:type="dxa" w:w="50"/>
              <w:left w:type="dxa" w:w="80"/>
              <w:bottom w:type="dxa" w:w="50"/>
              <w:right w:type="dxa" w:w="80"/>
            </w:tcMar>
          </w:tcPr>
          <w:p>
            <w:pPr>
              <w:jc w:val="center"/>
            </w:pPr>
            <w:r>
              <w:rPr>
                <w:rFonts w:ascii="Arial" w:cs="Arial" w:eastAsia="Arial" w:hAnsi="Arial"/>
                <w:b/>
                <w:bCs/>
                <w:color w:val="FFFFFF"/>
                <w:sz w:val="17"/>
                <w:szCs w:val="17"/>
              </w:rPr>
              <w:t xml:space="preserve">ROE</w:t>
            </w:r>
          </w:p>
        </w:tc>
        <w:tc>
          <w:tcPr>
            <w:tcW w:type="dxa" w:w="1000"/>
            <w:tcBorders>
              <w:top w:val="single" w:color="CCCCCC" w:sz="1"/>
              <w:left w:val="single" w:color="CCCCCC" w:sz="1"/>
              <w:bottom w:val="single" w:color="CCCCCC" w:sz="1"/>
              <w:right w:val="single" w:color="CCCCCC" w:sz="1"/>
            </w:tcBorders>
            <w:shd w:fill="0C447C" w:val="clear"/>
            <w:tcMar>
              <w:top w:type="dxa" w:w="50"/>
              <w:left w:type="dxa" w:w="80"/>
              <w:bottom w:type="dxa" w:w="50"/>
              <w:right w:type="dxa" w:w="80"/>
            </w:tcMar>
          </w:tcPr>
          <w:p>
            <w:pPr>
              <w:jc w:val="center"/>
            </w:pPr>
            <w:r>
              <w:rPr>
                <w:rFonts w:ascii="Arial" w:cs="Arial" w:eastAsia="Arial" w:hAnsi="Arial"/>
                <w:b/>
                <w:bCs/>
                <w:color w:val="FFFFFF"/>
                <w:sz w:val="17"/>
                <w:szCs w:val="17"/>
              </w:rPr>
              <w:t xml:space="preserve">Div Yld</w:t>
            </w:r>
          </w:p>
        </w:tc>
        <w:tc>
          <w:tcPr>
            <w:tcW w:type="dxa" w:w="1500"/>
            <w:tcBorders>
              <w:top w:val="single" w:color="CCCCCC" w:sz="1"/>
              <w:left w:val="single" w:color="CCCCCC" w:sz="1"/>
              <w:bottom w:val="single" w:color="CCCCCC" w:sz="1"/>
              <w:right w:val="single" w:color="CCCCCC" w:sz="1"/>
            </w:tcBorders>
            <w:shd w:fill="0C447C" w:val="clear"/>
            <w:tcMar>
              <w:top w:type="dxa" w:w="50"/>
              <w:left w:type="dxa" w:w="80"/>
              <w:bottom w:type="dxa" w:w="50"/>
              <w:right w:type="dxa" w:w="80"/>
            </w:tcMar>
          </w:tcPr>
          <w:p>
            <w:pPr>
              <w:jc w:val="center"/>
            </w:pPr>
            <w:r>
              <w:rPr>
                <w:rFonts w:ascii="Arial" w:cs="Arial" w:eastAsia="Arial" w:hAnsi="Arial"/>
                <w:b/>
                <w:bCs/>
                <w:color w:val="FFFFFF"/>
                <w:sz w:val="17"/>
                <w:szCs w:val="17"/>
              </w:rPr>
              <w:t xml:space="preserve">Revenue FY26</w:t>
            </w:r>
          </w:p>
        </w:tc>
        <w:tc>
          <w:tcPr>
            <w:tcW w:type="dxa" w:w="900"/>
            <w:tcBorders>
              <w:top w:val="single" w:color="CCCCCC" w:sz="1"/>
              <w:left w:val="single" w:color="CCCCCC" w:sz="1"/>
              <w:bottom w:val="single" w:color="CCCCCC" w:sz="1"/>
              <w:right w:val="single" w:color="CCCCCC" w:sz="1"/>
            </w:tcBorders>
            <w:shd w:fill="0C447C" w:val="clear"/>
            <w:tcMar>
              <w:top w:type="dxa" w:w="50"/>
              <w:left w:type="dxa" w:w="80"/>
              <w:bottom w:type="dxa" w:w="50"/>
              <w:right w:type="dxa" w:w="80"/>
            </w:tcMar>
          </w:tcPr>
          <w:p>
            <w:pPr>
              <w:jc w:val="center"/>
            </w:pPr>
            <w:r>
              <w:rPr>
                <w:rFonts w:ascii="Arial" w:cs="Arial" w:eastAsia="Arial" w:hAnsi="Arial"/>
                <w:b/>
                <w:bCs/>
                <w:color w:val="FFFFFF"/>
                <w:sz w:val="17"/>
                <w:szCs w:val="17"/>
              </w:rPr>
              <w:t xml:space="preserve">D/E</w:t>
            </w:r>
          </w:p>
        </w:tc>
      </w:tr>
      <w:tr>
        <w:tc>
          <w:tcPr>
            <w:tcW w:type="dxa" w:w="1800"/>
            <w:tcBorders>
              <w:top w:val="single" w:color="CCCCCC" w:sz="1"/>
              <w:left w:val="single" w:color="CCCCCC" w:sz="1"/>
              <w:bottom w:val="single" w:color="CCCCCC" w:sz="1"/>
              <w:right w:val="single" w:color="CCCCCC" w:sz="1"/>
            </w:tcBorders>
            <w:shd w:fill="D6E8F8" w:val="clear"/>
            <w:tcMar>
              <w:top w:type="dxa" w:w="50"/>
              <w:left w:type="dxa" w:w="80"/>
              <w:bottom w:type="dxa" w:w="50"/>
              <w:right w:type="dxa" w:w="80"/>
            </w:tcMar>
          </w:tcPr>
          <w:p>
            <w:pPr>
              <w:jc w:val="left"/>
            </w:pPr>
            <w:r>
              <w:rPr>
                <w:rFonts w:ascii="Arial" w:cs="Arial" w:eastAsia="Arial" w:hAnsi="Arial"/>
                <w:b/>
                <w:bCs/>
                <w:color w:val="0C447C"/>
                <w:sz w:val="17"/>
                <w:szCs w:val="17"/>
              </w:rPr>
              <w:t xml:space="preserve">TCS ★</w:t>
            </w:r>
          </w:p>
        </w:tc>
        <w:tc>
          <w:tcPr>
            <w:tcW w:type="dxa" w:w="1560"/>
            <w:tcBorders>
              <w:top w:val="single" w:color="CCCCCC" w:sz="1"/>
              <w:left w:val="single" w:color="CCCCCC" w:sz="1"/>
              <w:bottom w:val="single" w:color="CCCCCC" w:sz="1"/>
              <w:right w:val="single" w:color="CCCCCC" w:sz="1"/>
            </w:tcBorders>
            <w:shd w:fill="D6E8F8" w:val="clear"/>
            <w:tcMar>
              <w:top w:type="dxa" w:w="50"/>
              <w:left w:type="dxa" w:w="80"/>
              <w:bottom w:type="dxa" w:w="50"/>
              <w:right w:type="dxa" w:w="80"/>
            </w:tcMar>
          </w:tcPr>
          <w:p>
            <w:pPr>
              <w:jc w:val="center"/>
            </w:pPr>
            <w:r>
              <w:rPr>
                <w:rFonts w:ascii="Arial" w:cs="Arial" w:eastAsia="Arial" w:hAnsi="Arial"/>
                <w:b/>
                <w:bCs/>
                <w:color w:val="0C447C"/>
                <w:sz w:val="17"/>
                <w:szCs w:val="17"/>
              </w:rPr>
              <w:t xml:space="preserve">7,68,844</w:t>
            </w:r>
          </w:p>
        </w:tc>
        <w:tc>
          <w:tcPr>
            <w:tcW w:type="dxa" w:w="900"/>
            <w:tcBorders>
              <w:top w:val="single" w:color="CCCCCC" w:sz="1"/>
              <w:left w:val="single" w:color="CCCCCC" w:sz="1"/>
              <w:bottom w:val="single" w:color="CCCCCC" w:sz="1"/>
              <w:right w:val="single" w:color="CCCCCC" w:sz="1"/>
            </w:tcBorders>
            <w:shd w:fill="D6E8F8" w:val="clear"/>
            <w:tcMar>
              <w:top w:type="dxa" w:w="50"/>
              <w:left w:type="dxa" w:w="80"/>
              <w:bottom w:type="dxa" w:w="50"/>
              <w:right w:type="dxa" w:w="80"/>
            </w:tcMar>
          </w:tcPr>
          <w:p>
            <w:pPr>
              <w:jc w:val="center"/>
            </w:pPr>
            <w:r>
              <w:rPr>
                <w:rFonts w:ascii="Arial" w:cs="Arial" w:eastAsia="Arial" w:hAnsi="Arial"/>
                <w:b/>
                <w:bCs/>
                <w:color w:val="0C447C"/>
                <w:sz w:val="17"/>
                <w:szCs w:val="17"/>
              </w:rPr>
              <w:t xml:space="preserve">15.6x</w:t>
            </w:r>
          </w:p>
        </w:tc>
        <w:tc>
          <w:tcPr>
            <w:tcW w:type="dxa" w:w="900"/>
            <w:tcBorders>
              <w:top w:val="single" w:color="CCCCCC" w:sz="1"/>
              <w:left w:val="single" w:color="CCCCCC" w:sz="1"/>
              <w:bottom w:val="single" w:color="CCCCCC" w:sz="1"/>
              <w:right w:val="single" w:color="CCCCCC" w:sz="1"/>
            </w:tcBorders>
            <w:shd w:fill="D6E8F8" w:val="clear"/>
            <w:tcMar>
              <w:top w:type="dxa" w:w="50"/>
              <w:left w:type="dxa" w:w="80"/>
              <w:bottom w:type="dxa" w:w="50"/>
              <w:right w:type="dxa" w:w="80"/>
            </w:tcMar>
          </w:tcPr>
          <w:p>
            <w:pPr>
              <w:jc w:val="center"/>
            </w:pPr>
            <w:r>
              <w:rPr>
                <w:rFonts w:ascii="Arial" w:cs="Arial" w:eastAsia="Arial" w:hAnsi="Arial"/>
                <w:b/>
                <w:bCs/>
                <w:color w:val="0C447C"/>
                <w:sz w:val="17"/>
                <w:szCs w:val="17"/>
              </w:rPr>
              <w:t xml:space="preserve">7.2x</w:t>
            </w:r>
          </w:p>
        </w:tc>
        <w:tc>
          <w:tcPr>
            <w:tcW w:type="dxa" w:w="900"/>
            <w:tcBorders>
              <w:top w:val="single" w:color="CCCCCC" w:sz="1"/>
              <w:left w:val="single" w:color="CCCCCC" w:sz="1"/>
              <w:bottom w:val="single" w:color="CCCCCC" w:sz="1"/>
              <w:right w:val="single" w:color="CCCCCC" w:sz="1"/>
            </w:tcBorders>
            <w:shd w:fill="D6E8F8" w:val="clear"/>
            <w:tcMar>
              <w:top w:type="dxa" w:w="50"/>
              <w:left w:type="dxa" w:w="80"/>
              <w:bottom w:type="dxa" w:w="50"/>
              <w:right w:type="dxa" w:w="80"/>
            </w:tcMar>
          </w:tcPr>
          <w:p>
            <w:pPr>
              <w:jc w:val="center"/>
            </w:pPr>
            <w:r>
              <w:rPr>
                <w:rFonts w:ascii="Arial" w:cs="Arial" w:eastAsia="Arial" w:hAnsi="Arial"/>
                <w:b/>
                <w:bCs/>
                <w:color w:val="0C447C"/>
                <w:sz w:val="17"/>
                <w:szCs w:val="17"/>
              </w:rPr>
              <w:t xml:space="preserve">51.8%</w:t>
            </w:r>
          </w:p>
        </w:tc>
        <w:tc>
          <w:tcPr>
            <w:tcW w:type="dxa" w:w="1000"/>
            <w:tcBorders>
              <w:top w:val="single" w:color="CCCCCC" w:sz="1"/>
              <w:left w:val="single" w:color="CCCCCC" w:sz="1"/>
              <w:bottom w:val="single" w:color="CCCCCC" w:sz="1"/>
              <w:right w:val="single" w:color="CCCCCC" w:sz="1"/>
            </w:tcBorders>
            <w:shd w:fill="D6E8F8" w:val="clear"/>
            <w:tcMar>
              <w:top w:type="dxa" w:w="50"/>
              <w:left w:type="dxa" w:w="80"/>
              <w:bottom w:type="dxa" w:w="50"/>
              <w:right w:type="dxa" w:w="80"/>
            </w:tcMar>
          </w:tcPr>
          <w:p>
            <w:pPr>
              <w:jc w:val="center"/>
            </w:pPr>
            <w:r>
              <w:rPr>
                <w:rFonts w:ascii="Arial" w:cs="Arial" w:eastAsia="Arial" w:hAnsi="Arial"/>
                <w:b/>
                <w:bCs/>
                <w:color w:val="0C447C"/>
                <w:sz w:val="17"/>
                <w:szCs w:val="17"/>
              </w:rPr>
              <w:t xml:space="preserve">5.2%</w:t>
            </w:r>
          </w:p>
        </w:tc>
        <w:tc>
          <w:tcPr>
            <w:tcW w:type="dxa" w:w="1500"/>
            <w:tcBorders>
              <w:top w:val="single" w:color="CCCCCC" w:sz="1"/>
              <w:left w:val="single" w:color="CCCCCC" w:sz="1"/>
              <w:bottom w:val="single" w:color="CCCCCC" w:sz="1"/>
              <w:right w:val="single" w:color="CCCCCC" w:sz="1"/>
            </w:tcBorders>
            <w:shd w:fill="D6E8F8" w:val="clear"/>
            <w:tcMar>
              <w:top w:type="dxa" w:w="50"/>
              <w:left w:type="dxa" w:w="80"/>
              <w:bottom w:type="dxa" w:w="50"/>
              <w:right w:type="dxa" w:w="80"/>
            </w:tcMar>
          </w:tcPr>
          <w:p>
            <w:pPr>
              <w:jc w:val="center"/>
            </w:pPr>
            <w:r>
              <w:rPr>
                <w:rFonts w:ascii="Arial" w:cs="Arial" w:eastAsia="Arial" w:hAnsi="Arial"/>
                <w:b/>
                <w:bCs/>
                <w:color w:val="0C447C"/>
                <w:sz w:val="17"/>
                <w:szCs w:val="17"/>
              </w:rPr>
              <w:t xml:space="preserve">2,67,021</w:t>
            </w:r>
          </w:p>
        </w:tc>
        <w:tc>
          <w:tcPr>
            <w:tcW w:type="dxa" w:w="900"/>
            <w:tcBorders>
              <w:top w:val="single" w:color="CCCCCC" w:sz="1"/>
              <w:left w:val="single" w:color="CCCCCC" w:sz="1"/>
              <w:bottom w:val="single" w:color="CCCCCC" w:sz="1"/>
              <w:right w:val="single" w:color="CCCCCC" w:sz="1"/>
            </w:tcBorders>
            <w:shd w:fill="D6E8F8" w:val="clear"/>
            <w:tcMar>
              <w:top w:type="dxa" w:w="50"/>
              <w:left w:type="dxa" w:w="80"/>
              <w:bottom w:type="dxa" w:w="50"/>
              <w:right w:type="dxa" w:w="80"/>
            </w:tcMar>
          </w:tcPr>
          <w:p>
            <w:pPr>
              <w:jc w:val="center"/>
            </w:pPr>
            <w:r>
              <w:rPr>
                <w:rFonts w:ascii="Arial" w:cs="Arial" w:eastAsia="Arial" w:hAnsi="Arial"/>
                <w:b/>
                <w:bCs/>
                <w:color w:val="0C447C"/>
                <w:sz w:val="17"/>
                <w:szCs w:val="17"/>
              </w:rPr>
              <w:t xml:space="preserve">~0.1</w:t>
            </w:r>
          </w:p>
        </w:tc>
      </w:tr>
      <w:tr>
        <w:tc>
          <w:tcPr>
            <w:tcW w:type="dxa" w:w="18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jc w:val="left"/>
            </w:pPr>
            <w:r>
              <w:rPr>
                <w:rFonts w:ascii="Arial" w:cs="Arial" w:eastAsia="Arial" w:hAnsi="Arial"/>
                <w:b w:val="false"/>
                <w:bCs w:val="false"/>
                <w:color w:val="1A1A1A"/>
                <w:sz w:val="17"/>
                <w:szCs w:val="17"/>
              </w:rPr>
              <w:t xml:space="preserve">Infosys</w:t>
            </w:r>
          </w:p>
        </w:tc>
        <w:tc>
          <w:tcPr>
            <w:tcW w:type="dxa" w:w="156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jc w:val="center"/>
            </w:pPr>
            <w:r>
              <w:rPr>
                <w:rFonts w:ascii="Arial" w:cs="Arial" w:eastAsia="Arial" w:hAnsi="Arial"/>
                <w:b w:val="false"/>
                <w:bCs w:val="false"/>
                <w:color w:val="1A1A1A"/>
                <w:sz w:val="17"/>
                <w:szCs w:val="17"/>
              </w:rPr>
              <w:t xml:space="preserve">4,32,075</w:t>
            </w:r>
          </w:p>
        </w:tc>
        <w:tc>
          <w:tcPr>
            <w:tcW w:type="dxa" w:w="9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jc w:val="center"/>
            </w:pPr>
            <w:r>
              <w:rPr>
                <w:rFonts w:ascii="Arial" w:cs="Arial" w:eastAsia="Arial" w:hAnsi="Arial"/>
                <w:b w:val="false"/>
                <w:bCs w:val="false"/>
                <w:color w:val="1A1A1A"/>
                <w:sz w:val="17"/>
                <w:szCs w:val="17"/>
              </w:rPr>
              <w:t xml:space="preserve">~16x</w:t>
            </w:r>
          </w:p>
        </w:tc>
        <w:tc>
          <w:tcPr>
            <w:tcW w:type="dxa" w:w="9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jc w:val="center"/>
            </w:pPr>
            <w:r>
              <w:rPr>
                <w:rFonts w:ascii="Arial" w:cs="Arial" w:eastAsia="Arial" w:hAnsi="Arial"/>
                <w:b w:val="false"/>
                <w:bCs w:val="false"/>
                <w:color w:val="1A1A1A"/>
                <w:sz w:val="17"/>
                <w:szCs w:val="17"/>
              </w:rPr>
              <w:t xml:space="preserve">~6x</w:t>
            </w:r>
          </w:p>
        </w:tc>
        <w:tc>
          <w:tcPr>
            <w:tcW w:type="dxa" w:w="9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jc w:val="center"/>
            </w:pPr>
            <w:r>
              <w:rPr>
                <w:rFonts w:ascii="Arial" w:cs="Arial" w:eastAsia="Arial" w:hAnsi="Arial"/>
                <w:b w:val="false"/>
                <w:bCs w:val="false"/>
                <w:color w:val="1A1A1A"/>
                <w:sz w:val="17"/>
                <w:szCs w:val="17"/>
              </w:rPr>
              <w:t xml:space="preserve">30.8%</w:t>
            </w:r>
          </w:p>
        </w:tc>
        <w:tc>
          <w:tcPr>
            <w:tcW w:type="dxa" w:w="10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jc w:val="center"/>
            </w:pPr>
            <w:r>
              <w:rPr>
                <w:rFonts w:ascii="Arial" w:cs="Arial" w:eastAsia="Arial" w:hAnsi="Arial"/>
                <w:b w:val="false"/>
                <w:bCs w:val="false"/>
                <w:color w:val="1A1A1A"/>
                <w:sz w:val="17"/>
                <w:szCs w:val="17"/>
              </w:rPr>
              <w:t xml:space="preserve">4.5%</w:t>
            </w:r>
          </w:p>
        </w:tc>
        <w:tc>
          <w:tcPr>
            <w:tcW w:type="dxa" w:w="15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jc w:val="center"/>
            </w:pPr>
            <w:r>
              <w:rPr>
                <w:rFonts w:ascii="Arial" w:cs="Arial" w:eastAsia="Arial" w:hAnsi="Arial"/>
                <w:b w:val="false"/>
                <w:bCs w:val="false"/>
                <w:color w:val="1A1A1A"/>
                <w:sz w:val="17"/>
                <w:szCs w:val="17"/>
              </w:rPr>
              <w:t xml:space="preserve">~1,63,000</w:t>
            </w:r>
          </w:p>
        </w:tc>
        <w:tc>
          <w:tcPr>
            <w:tcW w:type="dxa" w:w="9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jc w:val="center"/>
            </w:pPr>
            <w:r>
              <w:rPr>
                <w:rFonts w:ascii="Arial" w:cs="Arial" w:eastAsia="Arial" w:hAnsi="Arial"/>
                <w:b w:val="false"/>
                <w:bCs w:val="false"/>
                <w:color w:val="1A1A1A"/>
                <w:sz w:val="17"/>
                <w:szCs w:val="17"/>
              </w:rPr>
              <w:t xml:space="preserve">Nil</w:t>
            </w:r>
          </w:p>
        </w:tc>
      </w:tr>
      <w:tr>
        <w:tc>
          <w:tcPr>
            <w:tcW w:type="dxa" w:w="18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jc w:val="left"/>
            </w:pPr>
            <w:r>
              <w:rPr>
                <w:rFonts w:ascii="Arial" w:cs="Arial" w:eastAsia="Arial" w:hAnsi="Arial"/>
                <w:b w:val="false"/>
                <w:bCs w:val="false"/>
                <w:color w:val="1A1A1A"/>
                <w:sz w:val="17"/>
                <w:szCs w:val="17"/>
              </w:rPr>
              <w:t xml:space="preserve">HCL Tech</w:t>
            </w:r>
          </w:p>
        </w:tc>
        <w:tc>
          <w:tcPr>
            <w:tcW w:type="dxa" w:w="156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jc w:val="center"/>
            </w:pPr>
            <w:r>
              <w:rPr>
                <w:rFonts w:ascii="Arial" w:cs="Arial" w:eastAsia="Arial" w:hAnsi="Arial"/>
                <w:b w:val="false"/>
                <w:bCs w:val="false"/>
                <w:color w:val="1A1A1A"/>
                <w:sz w:val="17"/>
                <w:szCs w:val="17"/>
              </w:rPr>
              <w:t xml:space="preserve">~3,50,000</w:t>
            </w:r>
          </w:p>
        </w:tc>
        <w:tc>
          <w:tcPr>
            <w:tcW w:type="dxa" w:w="9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jc w:val="center"/>
            </w:pPr>
            <w:r>
              <w:rPr>
                <w:rFonts w:ascii="Arial" w:cs="Arial" w:eastAsia="Arial" w:hAnsi="Arial"/>
                <w:b w:val="false"/>
                <w:bCs w:val="false"/>
                <w:color w:val="1A1A1A"/>
                <w:sz w:val="17"/>
                <w:szCs w:val="17"/>
              </w:rPr>
              <w:t xml:space="preserve">18.3x</w:t>
            </w:r>
          </w:p>
        </w:tc>
        <w:tc>
          <w:tcPr>
            <w:tcW w:type="dxa" w:w="9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jc w:val="center"/>
            </w:pPr>
            <w:r>
              <w:rPr>
                <w:rFonts w:ascii="Arial" w:cs="Arial" w:eastAsia="Arial" w:hAnsi="Arial"/>
                <w:b w:val="false"/>
                <w:bCs w:val="false"/>
                <w:color w:val="1A1A1A"/>
                <w:sz w:val="17"/>
                <w:szCs w:val="17"/>
              </w:rPr>
              <w:t xml:space="preserve">~5x</w:t>
            </w:r>
          </w:p>
        </w:tc>
        <w:tc>
          <w:tcPr>
            <w:tcW w:type="dxa" w:w="9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jc w:val="center"/>
            </w:pPr>
            <w:r>
              <w:rPr>
                <w:rFonts w:ascii="Arial" w:cs="Arial" w:eastAsia="Arial" w:hAnsi="Arial"/>
                <w:b w:val="false"/>
                <w:bCs w:val="false"/>
                <w:color w:val="1A1A1A"/>
                <w:sz w:val="17"/>
                <w:szCs w:val="17"/>
              </w:rPr>
              <w:t xml:space="preserve">~24%</w:t>
            </w:r>
          </w:p>
        </w:tc>
        <w:tc>
          <w:tcPr>
            <w:tcW w:type="dxa" w:w="10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jc w:val="center"/>
            </w:pPr>
            <w:r>
              <w:rPr>
                <w:rFonts w:ascii="Arial" w:cs="Arial" w:eastAsia="Arial" w:hAnsi="Arial"/>
                <w:b w:val="false"/>
                <w:bCs w:val="false"/>
                <w:color w:val="1A1A1A"/>
                <w:sz w:val="17"/>
                <w:szCs w:val="17"/>
              </w:rPr>
              <w:t xml:space="preserve">~4%</w:t>
            </w:r>
          </w:p>
        </w:tc>
        <w:tc>
          <w:tcPr>
            <w:tcW w:type="dxa" w:w="15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jc w:val="center"/>
            </w:pPr>
            <w:r>
              <w:rPr>
                <w:rFonts w:ascii="Arial" w:cs="Arial" w:eastAsia="Arial" w:hAnsi="Arial"/>
                <w:b w:val="false"/>
                <w:bCs w:val="false"/>
                <w:color w:val="1A1A1A"/>
                <w:sz w:val="17"/>
                <w:szCs w:val="17"/>
              </w:rPr>
              <w:t xml:space="preserve">~1,22,000</w:t>
            </w:r>
          </w:p>
        </w:tc>
        <w:tc>
          <w:tcPr>
            <w:tcW w:type="dxa" w:w="9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jc w:val="center"/>
            </w:pPr>
            <w:r>
              <w:rPr>
                <w:rFonts w:ascii="Arial" w:cs="Arial" w:eastAsia="Arial" w:hAnsi="Arial"/>
                <w:b w:val="false"/>
                <w:bCs w:val="false"/>
                <w:color w:val="1A1A1A"/>
                <w:sz w:val="17"/>
                <w:szCs w:val="17"/>
              </w:rPr>
              <w:t xml:space="preserve">Low</w:t>
            </w:r>
          </w:p>
        </w:tc>
      </w:tr>
      <w:tr>
        <w:tc>
          <w:tcPr>
            <w:tcW w:type="dxa" w:w="18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jc w:val="left"/>
            </w:pPr>
            <w:r>
              <w:rPr>
                <w:rFonts w:ascii="Arial" w:cs="Arial" w:eastAsia="Arial" w:hAnsi="Arial"/>
                <w:b w:val="false"/>
                <w:bCs w:val="false"/>
                <w:color w:val="1A1A1A"/>
                <w:sz w:val="17"/>
                <w:szCs w:val="17"/>
              </w:rPr>
              <w:t xml:space="preserve">Wipro</w:t>
            </w:r>
          </w:p>
        </w:tc>
        <w:tc>
          <w:tcPr>
            <w:tcW w:type="dxa" w:w="156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jc w:val="center"/>
            </w:pPr>
            <w:r>
              <w:rPr>
                <w:rFonts w:ascii="Arial" w:cs="Arial" w:eastAsia="Arial" w:hAnsi="Arial"/>
                <w:b w:val="false"/>
                <w:bCs w:val="false"/>
                <w:color w:val="1A1A1A"/>
                <w:sz w:val="17"/>
                <w:szCs w:val="17"/>
              </w:rPr>
              <w:t xml:space="preserve">1,89,453</w:t>
            </w:r>
          </w:p>
        </w:tc>
        <w:tc>
          <w:tcPr>
            <w:tcW w:type="dxa" w:w="9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jc w:val="center"/>
            </w:pPr>
            <w:r>
              <w:rPr>
                <w:rFonts w:ascii="Arial" w:cs="Arial" w:eastAsia="Arial" w:hAnsi="Arial"/>
                <w:b w:val="false"/>
                <w:bCs w:val="false"/>
                <w:color w:val="1A1A1A"/>
                <w:sz w:val="17"/>
                <w:szCs w:val="17"/>
              </w:rPr>
              <w:t xml:space="preserve">14.2x</w:t>
            </w:r>
          </w:p>
        </w:tc>
        <w:tc>
          <w:tcPr>
            <w:tcW w:type="dxa" w:w="9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jc w:val="center"/>
            </w:pPr>
            <w:r>
              <w:rPr>
                <w:rFonts w:ascii="Arial" w:cs="Arial" w:eastAsia="Arial" w:hAnsi="Arial"/>
                <w:b w:val="false"/>
                <w:bCs w:val="false"/>
                <w:color w:val="1A1A1A"/>
                <w:sz w:val="17"/>
                <w:szCs w:val="17"/>
              </w:rPr>
              <w:t xml:space="preserve">~2.5x</w:t>
            </w:r>
          </w:p>
        </w:tc>
        <w:tc>
          <w:tcPr>
            <w:tcW w:type="dxa" w:w="9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jc w:val="center"/>
            </w:pPr>
            <w:r>
              <w:rPr>
                <w:rFonts w:ascii="Arial" w:cs="Arial" w:eastAsia="Arial" w:hAnsi="Arial"/>
                <w:b w:val="false"/>
                <w:bCs w:val="false"/>
                <w:color w:val="1A1A1A"/>
                <w:sz w:val="17"/>
                <w:szCs w:val="17"/>
              </w:rPr>
              <w:t xml:space="preserve">~16%</w:t>
            </w:r>
          </w:p>
        </w:tc>
        <w:tc>
          <w:tcPr>
            <w:tcW w:type="dxa" w:w="10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jc w:val="center"/>
            </w:pPr>
            <w:r>
              <w:rPr>
                <w:rFonts w:ascii="Arial" w:cs="Arial" w:eastAsia="Arial" w:hAnsi="Arial"/>
                <w:b w:val="false"/>
                <w:bCs w:val="false"/>
                <w:color w:val="1A1A1A"/>
                <w:sz w:val="17"/>
                <w:szCs w:val="17"/>
              </w:rPr>
              <w:t xml:space="preserve">6.1%</w:t>
            </w:r>
          </w:p>
        </w:tc>
        <w:tc>
          <w:tcPr>
            <w:tcW w:type="dxa" w:w="15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jc w:val="center"/>
            </w:pPr>
            <w:r>
              <w:rPr>
                <w:rFonts w:ascii="Arial" w:cs="Arial" w:eastAsia="Arial" w:hAnsi="Arial"/>
                <w:b w:val="false"/>
                <w:bCs w:val="false"/>
                <w:color w:val="1A1A1A"/>
                <w:sz w:val="17"/>
                <w:szCs w:val="17"/>
              </w:rPr>
              <w:t xml:space="preserve">~89,000</w:t>
            </w:r>
          </w:p>
        </w:tc>
        <w:tc>
          <w:tcPr>
            <w:tcW w:type="dxa" w:w="9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jc w:val="center"/>
            </w:pPr>
            <w:r>
              <w:rPr>
                <w:rFonts w:ascii="Arial" w:cs="Arial" w:eastAsia="Arial" w:hAnsi="Arial"/>
                <w:b w:val="false"/>
                <w:bCs w:val="false"/>
                <w:color w:val="1A1A1A"/>
                <w:sz w:val="17"/>
                <w:szCs w:val="17"/>
              </w:rPr>
              <w:t xml:space="preserve">Low</w:t>
            </w:r>
          </w:p>
        </w:tc>
      </w:tr>
    </w:tbl>
    <w:p>
      <w:pPr>
        <w:spacing w:after="0" w:before="80"/>
      </w:pPr>
    </w:p>
    <w:p>
      <w:pPr>
        <w:spacing w:after="60" w:before="60"/>
      </w:pPr>
      <w:r>
        <w:rPr>
          <w:rFonts w:ascii="Arial" w:cs="Arial" w:eastAsia="Arial" w:hAnsi="Arial"/>
          <w:i/>
          <w:iCs/>
          <w:color w:val="5F5E5A"/>
          <w:sz w:val="17"/>
          <w:szCs w:val="17"/>
        </w:rPr>
        <w:t xml:space="preserve">★ = Subject stock. Data: Screener.in, Tickertape, MarketsMojo — Jun 2026. Some figures are approximate.</w:t>
      </w:r>
    </w:p>
    <w:p>
      <w:pPr>
        <w:spacing w:after="0" w:before="200"/>
      </w:pPr>
    </w:p>
    <w:p>
      <w:pPr>
        <w:pBdr>
          <w:left w:val="single" w:color="185FA5" w:sz="18" w:space="8"/>
        </w:pBdr>
        <w:shd w:fill="EEF5FC" w:val="clear"/>
        <w:spacing w:after="120" w:before="280"/>
        <w:ind w:left="120"/>
      </w:pPr>
      <w:r>
        <w:rPr>
          <w:rFonts w:ascii="Arial" w:cs="Arial" w:eastAsia="Arial" w:hAnsi="Arial"/>
          <w:b/>
          <w:bCs/>
          <w:color w:val="0C447C"/>
          <w:sz w:val="26"/>
          <w:szCs w:val="26"/>
        </w:rPr>
        <w:t xml:space="preserve">7. Shareholding Pattern</w:t>
      </w:r>
    </w:p>
    <w:p>
      <w:pPr>
        <w:spacing w:after="80" w:before="200"/>
      </w:pPr>
      <w:r>
        <w:rPr>
          <w:rFonts w:ascii="Arial" w:cs="Arial" w:eastAsia="Arial" w:hAnsi="Arial"/>
          <w:b/>
          <w:bCs/>
          <w:color w:val="185FA5"/>
          <w:sz w:val="22"/>
          <w:szCs w:val="22"/>
        </w:rPr>
        <w:t xml:space="preserve">Dec 2025 Shareholding Breakdown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200"/>
        <w:gridCol w:w="2960"/>
      </w:tblGrid>
      <w:tr>
        <w:tc>
          <w:tcPr>
            <w:tcW w:type="dxa" w:w="3200"/>
            <w:tcBorders>
              <w:top w:val="single" w:color="CCCCCC" w:sz="1"/>
              <w:left w:val="single" w:color="CCCCCC" w:sz="1"/>
              <w:bottom w:val="single" w:color="CCCCCC" w:sz="1"/>
              <w:right w:val="single" w:color="CCCCCC" w:sz="1"/>
            </w:tcBorders>
            <w:shd w:fill="0C447C" w:val="clear"/>
            <w:tcMar>
              <w:top w:type="dxa" w:w="60"/>
              <w:left w:type="dxa" w:w="120"/>
              <w:bottom w:type="dxa" w:w="60"/>
              <w:right w:type="dxa" w:w="80"/>
            </w:tcMar>
          </w:tcPr>
          <w:p>
            <w:r>
              <w:rPr>
                <w:rFonts w:ascii="Arial" w:cs="Arial" w:eastAsia="Arial" w:hAnsi="Arial"/>
                <w:b/>
                <w:bCs/>
                <w:color w:val="FFFFFF"/>
                <w:sz w:val="19"/>
                <w:szCs w:val="19"/>
              </w:rPr>
              <w:t xml:space="preserve">Category</w:t>
            </w:r>
          </w:p>
        </w:tc>
        <w:tc>
          <w:tcPr>
            <w:tcW w:type="dxa" w:w="3200"/>
            <w:tcBorders>
              <w:top w:val="single" w:color="CCCCCC" w:sz="1"/>
              <w:left w:val="single" w:color="CCCCCC" w:sz="1"/>
              <w:bottom w:val="single" w:color="CCCCCC" w:sz="1"/>
              <w:right w:val="single" w:color="CCCCCC" w:sz="1"/>
            </w:tcBorders>
            <w:shd w:fill="0C447C" w:val="clear"/>
            <w:tcMar>
              <w:top w:type="dxa" w:w="60"/>
              <w:left w:type="dxa" w:w="120"/>
              <w:bottom w:type="dxa" w:w="60"/>
              <w:right w:type="dxa" w:w="80"/>
            </w:tcMar>
          </w:tcPr>
          <w:p>
            <w:pPr>
              <w:jc w:val="center"/>
            </w:pPr>
            <w:r>
              <w:rPr>
                <w:rFonts w:ascii="Arial" w:cs="Arial" w:eastAsia="Arial" w:hAnsi="Arial"/>
                <w:b/>
                <w:bCs/>
                <w:color w:val="FFFFFF"/>
                <w:sz w:val="19"/>
                <w:szCs w:val="19"/>
              </w:rPr>
              <w:t xml:space="preserve">Holding %</w:t>
            </w:r>
          </w:p>
        </w:tc>
        <w:tc>
          <w:tcPr>
            <w:tcW w:type="dxa" w:w="2960"/>
            <w:tcBorders>
              <w:top w:val="single" w:color="CCCCCC" w:sz="1"/>
              <w:left w:val="single" w:color="CCCCCC" w:sz="1"/>
              <w:bottom w:val="single" w:color="CCCCCC" w:sz="1"/>
              <w:right w:val="single" w:color="CCCCCC" w:sz="1"/>
            </w:tcBorders>
            <w:shd w:fill="0C447C" w:val="clear"/>
            <w:tcMar>
              <w:top w:type="dxa" w:w="60"/>
              <w:left w:type="dxa" w:w="120"/>
              <w:bottom w:type="dxa" w:w="60"/>
              <w:right w:type="dxa" w:w="80"/>
            </w:tcMar>
          </w:tcPr>
          <w:p>
            <w:pPr>
              <w:jc w:val="center"/>
            </w:pPr>
            <w:r>
              <w:rPr>
                <w:rFonts w:ascii="Arial" w:cs="Arial" w:eastAsia="Arial" w:hAnsi="Arial"/>
                <w:b/>
                <w:bCs/>
                <w:color w:val="FFFFFF"/>
                <w:sz w:val="19"/>
                <w:szCs w:val="19"/>
              </w:rPr>
              <w:t xml:space="preserve">Trend</w:t>
            </w:r>
          </w:p>
        </w:tc>
      </w:tr>
      <w:tr>
        <w:tc>
          <w:tcPr>
            <w:tcW w:type="dxa" w:w="3200"/>
            <w:tcBorders>
              <w:top w:val="single" w:color="CCCCCC" w:sz="1"/>
              <w:left w:val="single" w:color="CCCCCC" w:sz="1"/>
              <w:bottom w:val="single" w:color="CCCCCC" w:sz="1"/>
              <w:right w:val="single" w:color="CCCCCC" w:sz="1"/>
            </w:tcBorders>
            <w:shd w:fill="E4F1D5" w:val="clear"/>
            <w:tcMar>
              <w:top w:type="dxa" w:w="55"/>
              <w:left w:type="dxa" w:w="120"/>
              <w:bottom w:type="dxa" w:w="55"/>
              <w:right w:type="dxa" w:w="80"/>
            </w:tcMar>
          </w:tcPr>
          <w:p>
            <w:r>
              <w:rPr>
                <w:rFonts w:ascii="Arial" w:cs="Arial" w:eastAsia="Arial" w:hAnsi="Arial"/>
                <w:color w:val="1A1A1A"/>
                <w:sz w:val="19"/>
                <w:szCs w:val="19"/>
              </w:rPr>
              <w:t xml:space="preserve">Promoters (Tata Sons)</w:t>
            </w:r>
          </w:p>
        </w:tc>
        <w:tc>
          <w:tcPr>
            <w:tcW w:type="dxa" w:w="3200"/>
            <w:tcBorders>
              <w:top w:val="single" w:color="CCCCCC" w:sz="1"/>
              <w:left w:val="single" w:color="CCCCCC" w:sz="1"/>
              <w:bottom w:val="single" w:color="CCCCCC" w:sz="1"/>
              <w:right w:val="single" w:color="CCCCCC" w:sz="1"/>
            </w:tcBorders>
            <w:shd w:fill="E4F1D5" w:val="clear"/>
            <w:tcMar>
              <w:top w:type="dxa" w:w="55"/>
              <w:left w:type="dxa" w:w="120"/>
              <w:bottom w:type="dxa" w:w="55"/>
              <w:right w:type="dxa" w:w="80"/>
            </w:tcMar>
          </w:tcPr>
          <w:p>
            <w:pPr>
              <w:jc w:val="center"/>
            </w:pPr>
            <w:r>
              <w:rPr>
                <w:rFonts w:ascii="Arial" w:cs="Arial" w:eastAsia="Arial" w:hAnsi="Arial"/>
                <w:b/>
                <w:bCs/>
                <w:color w:val="3B6D11"/>
                <w:sz w:val="19"/>
                <w:szCs w:val="19"/>
              </w:rPr>
              <w:t xml:space="preserve">71.77%</w:t>
            </w:r>
          </w:p>
        </w:tc>
        <w:tc>
          <w:tcPr>
            <w:tcW w:type="dxa" w:w="2960"/>
            <w:tcBorders>
              <w:top w:val="single" w:color="CCCCCC" w:sz="1"/>
              <w:left w:val="single" w:color="CCCCCC" w:sz="1"/>
              <w:bottom w:val="single" w:color="CCCCCC" w:sz="1"/>
              <w:right w:val="single" w:color="CCCCCC" w:sz="1"/>
            </w:tcBorders>
            <w:shd w:fill="E4F1D5" w:val="clear"/>
            <w:tcMar>
              <w:top w:type="dxa" w:w="55"/>
              <w:left w:type="dxa" w:w="120"/>
              <w:bottom w:type="dxa" w:w="55"/>
              <w:right w:type="dxa" w:w="80"/>
            </w:tcMar>
          </w:tcPr>
          <w:p>
            <w:r>
              <w:rPr>
                <w:rFonts w:ascii="Arial" w:cs="Arial" w:eastAsia="Arial" w:hAnsi="Arial"/>
                <w:color w:val="3B6D11"/>
                <w:sz w:val="18"/>
                <w:szCs w:val="18"/>
              </w:rPr>
              <w:t xml:space="preserve">Stable — Zero pledge</w:t>
            </w:r>
          </w:p>
        </w:tc>
      </w:tr>
      <w:tr>
        <w:tc>
          <w:tcPr>
            <w:tcW w:type="dxa" w:w="3200"/>
            <w:tcBorders>
              <w:top w:val="single" w:color="CCCCCC" w:sz="1"/>
              <w:left w:val="single" w:color="CCCCCC" w:sz="1"/>
              <w:bottom w:val="single" w:color="CCCCCC" w:sz="1"/>
              <w:right w:val="single" w:color="CCCCCC" w:sz="1"/>
            </w:tcBorders>
            <w:shd w:fill="E4F1D5" w:val="clear"/>
            <w:tcMar>
              <w:top w:type="dxa" w:w="55"/>
              <w:left w:type="dxa" w:w="120"/>
              <w:bottom w:type="dxa" w:w="55"/>
              <w:right w:type="dxa" w:w="80"/>
            </w:tcMar>
          </w:tcPr>
          <w:p>
            <w:r>
              <w:rPr>
                <w:rFonts w:ascii="Arial" w:cs="Arial" w:eastAsia="Arial" w:hAnsi="Arial"/>
                <w:color w:val="1A1A1A"/>
                <w:sz w:val="19"/>
                <w:szCs w:val="19"/>
              </w:rPr>
              <w:t xml:space="preserve">Domestic Institutions (DII)</w:t>
            </w:r>
          </w:p>
        </w:tc>
        <w:tc>
          <w:tcPr>
            <w:tcW w:type="dxa" w:w="3200"/>
            <w:tcBorders>
              <w:top w:val="single" w:color="CCCCCC" w:sz="1"/>
              <w:left w:val="single" w:color="CCCCCC" w:sz="1"/>
              <w:bottom w:val="single" w:color="CCCCCC" w:sz="1"/>
              <w:right w:val="single" w:color="CCCCCC" w:sz="1"/>
            </w:tcBorders>
            <w:shd w:fill="E4F1D5" w:val="clear"/>
            <w:tcMar>
              <w:top w:type="dxa" w:w="55"/>
              <w:left w:type="dxa" w:w="120"/>
              <w:bottom w:type="dxa" w:w="55"/>
              <w:right w:type="dxa" w:w="80"/>
            </w:tcMar>
          </w:tcPr>
          <w:p>
            <w:pPr>
              <w:jc w:val="center"/>
            </w:pPr>
            <w:r>
              <w:rPr>
                <w:rFonts w:ascii="Arial" w:cs="Arial" w:eastAsia="Arial" w:hAnsi="Arial"/>
                <w:b/>
                <w:bCs/>
                <w:color w:val="3B6D11"/>
                <w:sz w:val="19"/>
                <w:szCs w:val="19"/>
              </w:rPr>
              <w:t xml:space="preserve">12.81%</w:t>
            </w:r>
          </w:p>
        </w:tc>
        <w:tc>
          <w:tcPr>
            <w:tcW w:type="dxa" w:w="2960"/>
            <w:tcBorders>
              <w:top w:val="single" w:color="CCCCCC" w:sz="1"/>
              <w:left w:val="single" w:color="CCCCCC" w:sz="1"/>
              <w:bottom w:val="single" w:color="CCCCCC" w:sz="1"/>
              <w:right w:val="single" w:color="CCCCCC" w:sz="1"/>
            </w:tcBorders>
            <w:shd w:fill="E4F1D5" w:val="clear"/>
            <w:tcMar>
              <w:top w:type="dxa" w:w="55"/>
              <w:left w:type="dxa" w:w="120"/>
              <w:bottom w:type="dxa" w:w="55"/>
              <w:right w:type="dxa" w:w="80"/>
            </w:tcMar>
          </w:tcPr>
          <w:p>
            <w:r>
              <w:rPr>
                <w:rFonts w:ascii="Arial" w:cs="Arial" w:eastAsia="Arial" w:hAnsi="Arial"/>
                <w:color w:val="3B6D11"/>
                <w:sz w:val="18"/>
                <w:szCs w:val="18"/>
              </w:rPr>
              <w:t xml:space="preserve">Rising ▲ (was 11.49% Mar 25)</w:t>
            </w:r>
          </w:p>
        </w:tc>
      </w:tr>
      <w:tr>
        <w:tc>
          <w:tcPr>
            <w:tcW w:type="dxa" w:w="3200"/>
            <w:tcBorders>
              <w:top w:val="single" w:color="CCCCCC" w:sz="1"/>
              <w:left w:val="single" w:color="CCCCCC" w:sz="1"/>
              <w:bottom w:val="single" w:color="CCCCCC" w:sz="1"/>
              <w:right w:val="single" w:color="CCCCCC" w:sz="1"/>
            </w:tcBorders>
            <w:shd w:fill="FDF0D8" w:val="clear"/>
            <w:tcMar>
              <w:top w:type="dxa" w:w="55"/>
              <w:left w:type="dxa" w:w="120"/>
              <w:bottom w:type="dxa" w:w="55"/>
              <w:right w:type="dxa" w:w="80"/>
            </w:tcMar>
          </w:tcPr>
          <w:p>
            <w:r>
              <w:rPr>
                <w:rFonts w:ascii="Arial" w:cs="Arial" w:eastAsia="Arial" w:hAnsi="Arial"/>
                <w:color w:val="1A1A1A"/>
                <w:sz w:val="19"/>
                <w:szCs w:val="19"/>
              </w:rPr>
              <w:t xml:space="preserve">Foreign Institutions (FII)</w:t>
            </w:r>
          </w:p>
        </w:tc>
        <w:tc>
          <w:tcPr>
            <w:tcW w:type="dxa" w:w="3200"/>
            <w:tcBorders>
              <w:top w:val="single" w:color="CCCCCC" w:sz="1"/>
              <w:left w:val="single" w:color="CCCCCC" w:sz="1"/>
              <w:bottom w:val="single" w:color="CCCCCC" w:sz="1"/>
              <w:right w:val="single" w:color="CCCCCC" w:sz="1"/>
            </w:tcBorders>
            <w:shd w:fill="FDF0D8" w:val="clear"/>
            <w:tcMar>
              <w:top w:type="dxa" w:w="55"/>
              <w:left w:type="dxa" w:w="120"/>
              <w:bottom w:type="dxa" w:w="55"/>
              <w:right w:type="dxa" w:w="80"/>
            </w:tcMar>
          </w:tcPr>
          <w:p>
            <w:pPr>
              <w:jc w:val="center"/>
            </w:pPr>
            <w:r>
              <w:rPr>
                <w:rFonts w:ascii="Arial" w:cs="Arial" w:eastAsia="Arial" w:hAnsi="Arial"/>
                <w:b/>
                <w:bCs/>
                <w:color w:val="854F0B"/>
                <w:sz w:val="19"/>
                <w:szCs w:val="19"/>
              </w:rPr>
              <w:t xml:space="preserve">10.37%</w:t>
            </w:r>
          </w:p>
        </w:tc>
        <w:tc>
          <w:tcPr>
            <w:tcW w:type="dxa" w:w="2960"/>
            <w:tcBorders>
              <w:top w:val="single" w:color="CCCCCC" w:sz="1"/>
              <w:left w:val="single" w:color="CCCCCC" w:sz="1"/>
              <w:bottom w:val="single" w:color="CCCCCC" w:sz="1"/>
              <w:right w:val="single" w:color="CCCCCC" w:sz="1"/>
            </w:tcBorders>
            <w:shd w:fill="FDF0D8" w:val="clear"/>
            <w:tcMar>
              <w:top w:type="dxa" w:w="55"/>
              <w:left w:type="dxa" w:w="120"/>
              <w:bottom w:type="dxa" w:w="55"/>
              <w:right w:type="dxa" w:w="80"/>
            </w:tcMar>
          </w:tcPr>
          <w:p>
            <w:r>
              <w:rPr>
                <w:rFonts w:ascii="Arial" w:cs="Arial" w:eastAsia="Arial" w:hAnsi="Arial"/>
                <w:color w:val="854F0B"/>
                <w:sz w:val="18"/>
                <w:szCs w:val="18"/>
              </w:rPr>
              <w:t xml:space="preserve">Declining ▼ (was 12.04% Mar 25)</w:t>
            </w:r>
          </w:p>
        </w:tc>
      </w:tr>
      <w:tr>
        <w:tc>
          <w:tcPr>
            <w:tcW w:type="dxa" w:w="3200"/>
            <w:tcBorders>
              <w:top w:val="single" w:color="CCCCCC" w:sz="1"/>
              <w:left w:val="single" w:color="CCCCCC" w:sz="1"/>
              <w:bottom w:val="single" w:color="CCCCCC" w:sz="1"/>
              <w:right w:val="single" w:color="CCCCCC" w:sz="1"/>
            </w:tcBorders>
            <w:shd w:fill="F4F3EF" w:val="clear"/>
            <w:tcMar>
              <w:top w:type="dxa" w:w="55"/>
              <w:left w:type="dxa" w:w="120"/>
              <w:bottom w:type="dxa" w:w="55"/>
              <w:right w:type="dxa" w:w="80"/>
            </w:tcMar>
          </w:tcPr>
          <w:p>
            <w:r>
              <w:rPr>
                <w:rFonts w:ascii="Arial" w:cs="Arial" w:eastAsia="Arial" w:hAnsi="Arial"/>
                <w:color w:val="1A1A1A"/>
                <w:sz w:val="19"/>
                <w:szCs w:val="19"/>
              </w:rPr>
              <w:t xml:space="preserve">Retail &amp; Public</w:t>
            </w:r>
          </w:p>
        </w:tc>
        <w:tc>
          <w:tcPr>
            <w:tcW w:type="dxa" w:w="3200"/>
            <w:tcBorders>
              <w:top w:val="single" w:color="CCCCCC" w:sz="1"/>
              <w:left w:val="single" w:color="CCCCCC" w:sz="1"/>
              <w:bottom w:val="single" w:color="CCCCCC" w:sz="1"/>
              <w:right w:val="single" w:color="CCCCCC" w:sz="1"/>
            </w:tcBorders>
            <w:shd w:fill="F4F3EF" w:val="clear"/>
            <w:tcMar>
              <w:top w:type="dxa" w:w="55"/>
              <w:left w:type="dxa" w:w="120"/>
              <w:bottom w:type="dxa" w:w="55"/>
              <w:right w:type="dxa" w:w="80"/>
            </w:tcMar>
          </w:tcPr>
          <w:p>
            <w:pPr>
              <w:jc w:val="center"/>
            </w:pPr>
            <w:r>
              <w:rPr>
                <w:rFonts w:ascii="Arial" w:cs="Arial" w:eastAsia="Arial" w:hAnsi="Arial"/>
                <w:b/>
                <w:bCs/>
                <w:color w:val="5F5E5A"/>
                <w:sz w:val="19"/>
                <w:szCs w:val="19"/>
              </w:rPr>
              <w:t xml:space="preserve">4.98%</w:t>
            </w:r>
          </w:p>
        </w:tc>
        <w:tc>
          <w:tcPr>
            <w:tcW w:type="dxa" w:w="2960"/>
            <w:tcBorders>
              <w:top w:val="single" w:color="CCCCCC" w:sz="1"/>
              <w:left w:val="single" w:color="CCCCCC" w:sz="1"/>
              <w:bottom w:val="single" w:color="CCCCCC" w:sz="1"/>
              <w:right w:val="single" w:color="CCCCCC" w:sz="1"/>
            </w:tcBorders>
            <w:shd w:fill="F4F3EF" w:val="clear"/>
            <w:tcMar>
              <w:top w:type="dxa" w:w="55"/>
              <w:left w:type="dxa" w:w="120"/>
              <w:bottom w:type="dxa" w:w="55"/>
              <w:right w:type="dxa" w:w="80"/>
            </w:tcMar>
          </w:tcPr>
          <w:p>
            <w:r>
              <w:rPr>
                <w:rFonts w:ascii="Arial" w:cs="Arial" w:eastAsia="Arial" w:hAnsi="Arial"/>
                <w:color w:val="5F5E5A"/>
                <w:sz w:val="18"/>
                <w:szCs w:val="18"/>
              </w:rPr>
              <w:t xml:space="preserve">Stable</w:t>
            </w:r>
          </w:p>
        </w:tc>
      </w:tr>
      <w:tr>
        <w:tc>
          <w:tcPr>
            <w:tcW w:type="dxa" w:w="3200"/>
            <w:tcBorders>
              <w:top w:val="single" w:color="CCCCCC" w:sz="1"/>
              <w:left w:val="single" w:color="CCCCCC" w:sz="1"/>
              <w:bottom w:val="single" w:color="CCCCCC" w:sz="1"/>
              <w:right w:val="single" w:color="CCCCCC" w:sz="1"/>
            </w:tcBorders>
            <w:shd w:fill="F4F3EF" w:val="clear"/>
            <w:tcMar>
              <w:top w:type="dxa" w:w="55"/>
              <w:left w:type="dxa" w:w="120"/>
              <w:bottom w:type="dxa" w:w="55"/>
              <w:right w:type="dxa" w:w="80"/>
            </w:tcMar>
          </w:tcPr>
          <w:p>
            <w:r>
              <w:rPr>
                <w:rFonts w:ascii="Arial" w:cs="Arial" w:eastAsia="Arial" w:hAnsi="Arial"/>
                <w:color w:val="1A1A1A"/>
                <w:sz w:val="19"/>
                <w:szCs w:val="19"/>
              </w:rPr>
              <w:t xml:space="preserve">Government</w:t>
            </w:r>
          </w:p>
        </w:tc>
        <w:tc>
          <w:tcPr>
            <w:tcW w:type="dxa" w:w="3200"/>
            <w:tcBorders>
              <w:top w:val="single" w:color="CCCCCC" w:sz="1"/>
              <w:left w:val="single" w:color="CCCCCC" w:sz="1"/>
              <w:bottom w:val="single" w:color="CCCCCC" w:sz="1"/>
              <w:right w:val="single" w:color="CCCCCC" w:sz="1"/>
            </w:tcBorders>
            <w:shd w:fill="F4F3EF" w:val="clear"/>
            <w:tcMar>
              <w:top w:type="dxa" w:w="55"/>
              <w:left w:type="dxa" w:w="120"/>
              <w:bottom w:type="dxa" w:w="55"/>
              <w:right w:type="dxa" w:w="80"/>
            </w:tcMar>
          </w:tcPr>
          <w:p>
            <w:pPr>
              <w:jc w:val="center"/>
            </w:pPr>
            <w:r>
              <w:rPr>
                <w:rFonts w:ascii="Arial" w:cs="Arial" w:eastAsia="Arial" w:hAnsi="Arial"/>
                <w:b/>
                <w:bCs/>
                <w:color w:val="5F5E5A"/>
                <w:sz w:val="19"/>
                <w:szCs w:val="19"/>
              </w:rPr>
              <w:t xml:space="preserve">0.06%</w:t>
            </w:r>
          </w:p>
        </w:tc>
        <w:tc>
          <w:tcPr>
            <w:tcW w:type="dxa" w:w="2960"/>
            <w:tcBorders>
              <w:top w:val="single" w:color="CCCCCC" w:sz="1"/>
              <w:left w:val="single" w:color="CCCCCC" w:sz="1"/>
              <w:bottom w:val="single" w:color="CCCCCC" w:sz="1"/>
              <w:right w:val="single" w:color="CCCCCC" w:sz="1"/>
            </w:tcBorders>
            <w:shd w:fill="F4F3EF" w:val="clear"/>
            <w:tcMar>
              <w:top w:type="dxa" w:w="55"/>
              <w:left w:type="dxa" w:w="120"/>
              <w:bottom w:type="dxa" w:w="55"/>
              <w:right w:type="dxa" w:w="80"/>
            </w:tcMar>
          </w:tcPr>
          <w:p>
            <w:r>
              <w:rPr>
                <w:rFonts w:ascii="Arial" w:cs="Arial" w:eastAsia="Arial" w:hAnsi="Arial"/>
                <w:color w:val="5F5E5A"/>
                <w:sz w:val="18"/>
                <w:szCs w:val="18"/>
              </w:rPr>
              <w:t xml:space="preserve">Negligible</w:t>
            </w:r>
          </w:p>
        </w:tc>
      </w:tr>
    </w:tbl>
    <w:p>
      <w:pPr>
        <w:spacing w:after="0" w:before="200"/>
      </w:pPr>
    </w:p>
    <w:p>
      <w:pPr>
        <w:pBdr>
          <w:left w:val="single" w:color="185FA5" w:sz="18" w:space="8"/>
        </w:pBdr>
        <w:shd w:fill="EEF5FC" w:val="clear"/>
        <w:spacing w:after="120" w:before="280"/>
        <w:ind w:left="120"/>
      </w:pPr>
      <w:r>
        <w:rPr>
          <w:rFonts w:ascii="Arial" w:cs="Arial" w:eastAsia="Arial" w:hAnsi="Arial"/>
          <w:b/>
          <w:bCs/>
          <w:color w:val="0C447C"/>
          <w:sz w:val="26"/>
          <w:szCs w:val="26"/>
        </w:rPr>
        <w:t xml:space="preserve">8. Strengths &amp; Risk Factors</w:t>
      </w:r>
    </w:p>
    <w:p>
      <w:pPr>
        <w:spacing w:after="80" w:before="200"/>
      </w:pPr>
      <w:r>
        <w:rPr>
          <w:rFonts w:ascii="Arial" w:cs="Arial" w:eastAsia="Arial" w:hAnsi="Arial"/>
          <w:b/>
          <w:bCs/>
          <w:color w:val="185FA5"/>
          <w:sz w:val="22"/>
          <w:szCs w:val="22"/>
        </w:rPr>
        <w:t xml:space="preserve">Key Strengths</w:t>
      </w:r>
    </w:p>
    <w:p>
      <w:pPr>
        <w:spacing w:after="60" w:before="60"/>
        <w:ind w:left="360" w:hanging="280"/>
      </w:pPr>
      <w:r>
        <w:rPr>
          <w:rFonts w:ascii="Arial" w:cs="Arial" w:eastAsia="Arial" w:hAnsi="Arial"/>
          <w:b/>
          <w:bCs/>
          <w:color w:val="3B6D11"/>
          <w:sz w:val="20"/>
          <w:szCs w:val="20"/>
        </w:rPr>
        <w:t xml:space="preserve">●  </w:t>
      </w:r>
      <w:r>
        <w:rPr>
          <w:rFonts w:ascii="Arial" w:cs="Arial" w:eastAsia="Arial" w:hAnsi="Arial"/>
          <w:color w:val="1A1A1A"/>
          <w:sz w:val="20"/>
          <w:szCs w:val="20"/>
        </w:rPr>
        <w:t xml:space="preserve">Brand and scale moat: Largest Indian IT firm with 50+ years of enterprise relationships. High switching costs; Fortune 500 client stickiness is exceptional.</w:t>
      </w:r>
    </w:p>
    <w:p>
      <w:pPr>
        <w:spacing w:after="60" w:before="60"/>
        <w:ind w:left="360" w:hanging="280"/>
      </w:pPr>
      <w:r>
        <w:rPr>
          <w:rFonts w:ascii="Arial" w:cs="Arial" w:eastAsia="Arial" w:hAnsi="Arial"/>
          <w:b/>
          <w:bCs/>
          <w:color w:val="3B6D11"/>
          <w:sz w:val="20"/>
          <w:szCs w:val="20"/>
        </w:rPr>
        <w:t xml:space="preserve">●  </w:t>
      </w:r>
      <w:r>
        <w:rPr>
          <w:rFonts w:ascii="Arial" w:cs="Arial" w:eastAsia="Arial" w:hAnsi="Arial"/>
          <w:color w:val="1A1A1A"/>
          <w:sz w:val="20"/>
          <w:szCs w:val="20"/>
        </w:rPr>
        <w:t xml:space="preserve">Elite capital efficiency: ROE of 51.8% and ROCE of 63% sustained over multiple years — rare among large-cap global IT peers.</w:t>
      </w:r>
    </w:p>
    <w:p>
      <w:pPr>
        <w:spacing w:after="60" w:before="60"/>
        <w:ind w:left="360" w:hanging="280"/>
      </w:pPr>
      <w:r>
        <w:rPr>
          <w:rFonts w:ascii="Arial" w:cs="Arial" w:eastAsia="Arial" w:hAnsi="Arial"/>
          <w:b/>
          <w:bCs/>
          <w:color w:val="3B6D11"/>
          <w:sz w:val="20"/>
          <w:szCs w:val="20"/>
        </w:rPr>
        <w:t xml:space="preserve">●  </w:t>
      </w:r>
      <w:r>
        <w:rPr>
          <w:rFonts w:ascii="Arial" w:cs="Arial" w:eastAsia="Arial" w:hAnsi="Arial"/>
          <w:color w:val="1A1A1A"/>
          <w:sz w:val="20"/>
          <w:szCs w:val="20"/>
        </w:rPr>
        <w:t xml:space="preserve">Cash generation machine: ₹48,013 Cr FCF in FY26 with 92% CFO conversion. Consistent dividend payer with 5.2% yield at current prices.</w:t>
      </w:r>
    </w:p>
    <w:p>
      <w:pPr>
        <w:spacing w:after="60" w:before="60"/>
        <w:ind w:left="360" w:hanging="280"/>
      </w:pPr>
      <w:r>
        <w:rPr>
          <w:rFonts w:ascii="Arial" w:cs="Arial" w:eastAsia="Arial" w:hAnsi="Arial"/>
          <w:b/>
          <w:bCs/>
          <w:color w:val="3B6D11"/>
          <w:sz w:val="20"/>
          <w:szCs w:val="20"/>
        </w:rPr>
        <w:t xml:space="preserve">●  </w:t>
      </w:r>
      <w:r>
        <w:rPr>
          <w:rFonts w:ascii="Arial" w:cs="Arial" w:eastAsia="Arial" w:hAnsi="Arial"/>
          <w:color w:val="1A1A1A"/>
          <w:sz w:val="20"/>
          <w:szCs w:val="20"/>
        </w:rPr>
        <w:t xml:space="preserve">AI revenue inflection: Annualised AI revenue crossed $2.3 Bn in Q4 FY26 (up from $1.8 Bn in Q3). TCS-Anthropic Premier Partnership signed June 2026.</w:t>
      </w:r>
    </w:p>
    <w:p>
      <w:pPr>
        <w:spacing w:after="60" w:before="60"/>
        <w:ind w:left="360" w:hanging="280"/>
      </w:pPr>
      <w:r>
        <w:rPr>
          <w:rFonts w:ascii="Arial" w:cs="Arial" w:eastAsia="Arial" w:hAnsi="Arial"/>
          <w:b/>
          <w:bCs/>
          <w:color w:val="3B6D11"/>
          <w:sz w:val="20"/>
          <w:szCs w:val="20"/>
        </w:rPr>
        <w:t xml:space="preserve">●  </w:t>
      </w:r>
      <w:r>
        <w:rPr>
          <w:rFonts w:ascii="Arial" w:cs="Arial" w:eastAsia="Arial" w:hAnsi="Arial"/>
          <w:color w:val="1A1A1A"/>
          <w:sz w:val="20"/>
          <w:szCs w:val="20"/>
        </w:rPr>
        <w:t xml:space="preserve">Tata Group backing: Promoter holding stable at 71.77% with zero pledge. ICRA AAA credit rating. Strong governance credentials.</w:t>
      </w:r>
    </w:p>
    <w:p>
      <w:pPr>
        <w:spacing w:after="0" w:before="80"/>
      </w:pPr>
    </w:p>
    <w:p>
      <w:pPr>
        <w:spacing w:after="80" w:before="200"/>
      </w:pPr>
      <w:r>
        <w:rPr>
          <w:rFonts w:ascii="Arial" w:cs="Arial" w:eastAsia="Arial" w:hAnsi="Arial"/>
          <w:b/>
          <w:bCs/>
          <w:color w:val="185FA5"/>
          <w:sz w:val="22"/>
          <w:szCs w:val="22"/>
        </w:rPr>
        <w:t xml:space="preserve">Key Risk Factors</w:t>
      </w:r>
    </w:p>
    <w:p>
      <w:pPr>
        <w:spacing w:after="60" w:before="60"/>
        <w:ind w:left="360" w:hanging="280"/>
      </w:pPr>
      <w:r>
        <w:rPr>
          <w:rFonts w:ascii="Arial" w:cs="Arial" w:eastAsia="Arial" w:hAnsi="Arial"/>
          <w:b/>
          <w:bCs/>
          <w:color w:val="854F0B"/>
          <w:sz w:val="20"/>
          <w:szCs w:val="20"/>
        </w:rPr>
        <w:t xml:space="preserve">▲  </w:t>
      </w:r>
      <w:r>
        <w:rPr>
          <w:rFonts w:ascii="Arial" w:cs="Arial" w:eastAsia="Arial" w:hAnsi="Arial"/>
          <w:color w:val="1A1A1A"/>
          <w:sz w:val="20"/>
          <w:szCs w:val="20"/>
        </w:rPr>
        <w:t xml:space="preserve">Muted CC growth: FY26 constant-currency revenue declined 2.4% — a key structural concern. Revenue grew only in INR terms due to USD weakness vs INR.</w:t>
      </w:r>
    </w:p>
    <w:p>
      <w:pPr>
        <w:spacing w:after="60" w:before="60"/>
        <w:ind w:left="360" w:hanging="280"/>
      </w:pPr>
      <w:r>
        <w:rPr>
          <w:rFonts w:ascii="Arial" w:cs="Arial" w:eastAsia="Arial" w:hAnsi="Arial"/>
          <w:b/>
          <w:bCs/>
          <w:color w:val="854F0B"/>
          <w:sz w:val="20"/>
          <w:szCs w:val="20"/>
        </w:rPr>
        <w:t xml:space="preserve">▲  </w:t>
      </w:r>
      <w:r>
        <w:rPr>
          <w:rFonts w:ascii="Arial" w:cs="Arial" w:eastAsia="Arial" w:hAnsi="Arial"/>
          <w:color w:val="1A1A1A"/>
          <w:sz w:val="20"/>
          <w:szCs w:val="20"/>
        </w:rPr>
        <w:t xml:space="preserve">Macro and geopolitical headwinds: US discretionary IT spending remains cautious post-2025. Accenture lowered FY26 guidance; delayed client decision-making impacting deal conversions.</w:t>
      </w:r>
    </w:p>
    <w:p>
      <w:pPr>
        <w:spacing w:after="60" w:before="60"/>
        <w:ind w:left="360" w:hanging="280"/>
      </w:pPr>
      <w:r>
        <w:rPr>
          <w:rFonts w:ascii="Arial" w:cs="Arial" w:eastAsia="Arial" w:hAnsi="Arial"/>
          <w:b/>
          <w:bCs/>
          <w:color w:val="854F0B"/>
          <w:sz w:val="20"/>
          <w:szCs w:val="20"/>
        </w:rPr>
        <w:t xml:space="preserve">▲  </w:t>
      </w:r>
      <w:r>
        <w:rPr>
          <w:rFonts w:ascii="Arial" w:cs="Arial" w:eastAsia="Arial" w:hAnsi="Arial"/>
          <w:color w:val="1A1A1A"/>
          <w:sz w:val="20"/>
          <w:szCs w:val="20"/>
        </w:rPr>
        <w:t xml:space="preserve">Currency risk: ~85% of revenue in USD/GBP. INR appreciation significantly dents reported INR revenue. No formal large-scale hedge disclosed.</w:t>
      </w:r>
    </w:p>
    <w:p>
      <w:pPr>
        <w:spacing w:after="60" w:before="60"/>
        <w:ind w:left="360" w:hanging="280"/>
      </w:pPr>
      <w:r>
        <w:rPr>
          <w:rFonts w:ascii="Arial" w:cs="Arial" w:eastAsia="Arial" w:hAnsi="Arial"/>
          <w:b/>
          <w:bCs/>
          <w:color w:val="A32D2D"/>
          <w:sz w:val="20"/>
          <w:szCs w:val="20"/>
        </w:rPr>
        <w:t xml:space="preserve">▲  </w:t>
      </w:r>
      <w:r>
        <w:rPr>
          <w:rFonts w:ascii="Arial" w:cs="Arial" w:eastAsia="Arial" w:hAnsi="Arial"/>
          <w:color w:val="1A1A1A"/>
          <w:sz w:val="20"/>
          <w:szCs w:val="20"/>
        </w:rPr>
        <w:t xml:space="preserve">Legal risk: US Supreme Court denied TCS petition (June 2026); company to book USD 70 million additional expense in Q1 FY27. Nashik unit investigation ongoing.</w:t>
      </w:r>
    </w:p>
    <w:p>
      <w:pPr>
        <w:spacing w:after="60" w:before="60"/>
        <w:ind w:left="360" w:hanging="280"/>
      </w:pPr>
      <w:r>
        <w:rPr>
          <w:rFonts w:ascii="Arial" w:cs="Arial" w:eastAsia="Arial" w:hAnsi="Arial"/>
          <w:b/>
          <w:bCs/>
          <w:color w:val="854F0B"/>
          <w:sz w:val="20"/>
          <w:szCs w:val="20"/>
        </w:rPr>
        <w:t xml:space="preserve">▲  </w:t>
      </w:r>
      <w:r>
        <w:rPr>
          <w:rFonts w:ascii="Arial" w:cs="Arial" w:eastAsia="Arial" w:hAnsi="Arial"/>
          <w:color w:val="1A1A1A"/>
          <w:sz w:val="20"/>
          <w:szCs w:val="20"/>
        </w:rPr>
        <w:t xml:space="preserve">Debtor days rising: DSO crept up from 81 days (FY23) to 93 days (FY26) — working capital pressure worth tracking in upcoming quarters.</w:t>
      </w:r>
    </w:p>
    <w:p>
      <w:pPr>
        <w:spacing w:after="60" w:before="60"/>
        <w:ind w:left="360" w:hanging="280"/>
      </w:pPr>
      <w:r>
        <w:rPr>
          <w:rFonts w:ascii="Arial" w:cs="Arial" w:eastAsia="Arial" w:hAnsi="Arial"/>
          <w:b/>
          <w:bCs/>
          <w:color w:val="854F0B"/>
          <w:sz w:val="20"/>
          <w:szCs w:val="20"/>
        </w:rPr>
        <w:t xml:space="preserve">▲  </w:t>
      </w:r>
      <w:r>
        <w:rPr>
          <w:rFonts w:ascii="Arial" w:cs="Arial" w:eastAsia="Arial" w:hAnsi="Arial"/>
          <w:color w:val="1A1A1A"/>
          <w:sz w:val="20"/>
          <w:szCs w:val="20"/>
        </w:rPr>
        <w:t xml:space="preserve">FII selling: Foreign institutional investors have trimmed holdings from 12.7% to 10.4% over the past 5 quarters — a sentiment signal.</w:t>
      </w:r>
    </w:p>
    <w:p>
      <w:pPr>
        <w:spacing w:after="0" w:before="200"/>
      </w:pPr>
    </w:p>
    <w:p>
      <w:pPr>
        <w:pBdr>
          <w:left w:val="single" w:color="185FA5" w:sz="18" w:space="8"/>
        </w:pBdr>
        <w:shd w:fill="EEF5FC" w:val="clear"/>
        <w:spacing w:after="120" w:before="280"/>
        <w:ind w:left="120"/>
      </w:pPr>
      <w:r>
        <w:rPr>
          <w:rFonts w:ascii="Arial" w:cs="Arial" w:eastAsia="Arial" w:hAnsi="Arial"/>
          <w:b/>
          <w:bCs/>
          <w:color w:val="0C447C"/>
          <w:sz w:val="26"/>
          <w:szCs w:val="26"/>
        </w:rPr>
        <w:t xml:space="preserve">9. Fundamental View &amp; Key Metrics to Track</w:t>
      </w:r>
    </w:p>
    <w:p>
      <w:pPr>
        <w:spacing w:after="0" w:before="80"/>
      </w:pPr>
    </w:p>
    <w:p>
      <w:pPr>
        <w:pBdr>
          <w:left w:val="single" w:color="185FA5" w:sz="24" w:space="8"/>
        </w:pBdr>
        <w:shd w:fill="D6E8F8" w:val="clear"/>
        <w:spacing w:after="80" w:before="80"/>
        <w:ind w:left="140"/>
      </w:pPr>
      <w:r>
        <w:rPr>
          <w:rFonts w:ascii="Arial" w:cs="Arial" w:eastAsia="Arial" w:hAnsi="Arial"/>
          <w:b/>
          <w:bCs/>
          <w:color w:val="0C447C"/>
          <w:sz w:val="22"/>
          <w:szCs w:val="22"/>
        </w:rPr>
        <w:t xml:space="preserve">Overall Fundamental Quality: </w:t>
      </w:r>
      <w:r>
        <w:rPr>
          <w:rFonts w:ascii="Arial" w:cs="Arial" w:eastAsia="Arial" w:hAnsi="Arial"/>
          <w:b/>
          <w:bCs/>
          <w:color w:val="3B6D11"/>
          <w:sz w:val="22"/>
          <w:szCs w:val="22"/>
        </w:rPr>
        <w:t xml:space="preserve">STRONG</w:t>
      </w:r>
    </w:p>
    <w:p>
      <w:pPr>
        <w:spacing w:after="0" w:before="60"/>
      </w:pPr>
    </w:p>
    <w:p>
      <w:pPr>
        <w:spacing w:after="60" w:before="60"/>
      </w:pPr>
      <w:r>
        <w:rPr>
          <w:rFonts w:ascii="Arial" w:cs="Arial" w:eastAsia="Arial" w:hAnsi="Arial"/>
          <w:color w:val="1A1A1A"/>
          <w:sz w:val="20"/>
          <w:szCs w:val="20"/>
        </w:rPr>
        <w:t xml:space="preserve">TCS is a fundamentally exceptional business — best-in-class ROE, ROCE, FCF generation, and dividend track record across its entire history. The current stock correction has brought valuation down to near-trough levels (~15.6x P/E vs. a historical average of ~27x). The core business is intact, deal momentum is solid ($40.7 Bn TCV in FY26), and AI revenue is scaling fast.</w:t>
      </w:r>
    </w:p>
    <w:p>
      <w:pPr>
        <w:spacing w:after="0" w:before="60"/>
      </w:pPr>
    </w:p>
    <w:p>
      <w:pPr>
        <w:spacing w:after="60" w:before="60"/>
      </w:pPr>
      <w:r>
        <w:rPr>
          <w:rFonts w:ascii="Arial" w:cs="Arial" w:eastAsia="Arial" w:hAnsi="Arial"/>
          <w:color w:val="1A1A1A"/>
          <w:sz w:val="20"/>
          <w:szCs w:val="20"/>
        </w:rPr>
        <w:t xml:space="preserve">However, the near-term growth outlook in constant currency remains subdued due to macro uncertainty and delayed client decision-making. This is a quality franchise at a historically cheap price, but growth recovery in constant-currency terms will be the key trigger for a meaningful valuation re-rating.</w:t>
      </w:r>
    </w:p>
    <w:p>
      <w:pPr>
        <w:spacing w:after="0" w:before="100"/>
      </w:pPr>
    </w:p>
    <w:p>
      <w:pPr>
        <w:spacing w:after="80" w:before="200"/>
      </w:pPr>
      <w:r>
        <w:rPr>
          <w:rFonts w:ascii="Arial" w:cs="Arial" w:eastAsia="Arial" w:hAnsi="Arial"/>
          <w:b/>
          <w:bCs/>
          <w:color w:val="185FA5"/>
          <w:sz w:val="22"/>
          <w:szCs w:val="22"/>
        </w:rPr>
        <w:t xml:space="preserve">Key Metrics to Watch in Upcoming Quarters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0"/>
        <w:gridCol w:w="4360"/>
      </w:tblGrid>
      <w:tr>
        <w:tc>
          <w:tcPr>
            <w:tcW w:type="dxa" w:w="5000"/>
            <w:tcBorders>
              <w:top w:val="single" w:color="CCCCCC" w:sz="1"/>
              <w:left w:val="single" w:color="CCCCCC" w:sz="1"/>
              <w:bottom w:val="single" w:color="CCCCCC" w:sz="1"/>
              <w:right w:val="single" w:color="CCCCCC" w:sz="1"/>
            </w:tcBorders>
            <w:shd w:fill="F4F3EF" w:val="clear"/>
            <w:tcMar>
              <w:top w:type="dxa" w:w="60"/>
              <w:left w:type="dxa" w:w="120"/>
              <w:bottom w:type="dxa" w:w="60"/>
              <w:right w:type="dxa" w:w="80"/>
            </w:tcMar>
          </w:tcPr>
          <w:p>
            <w:r>
              <w:rPr>
                <w:rFonts w:ascii="Arial" w:cs="Arial" w:eastAsia="Arial" w:hAnsi="Arial"/>
                <w:color w:val="5F5E5A"/>
                <w:sz w:val="19"/>
                <w:szCs w:val="19"/>
              </w:rPr>
              <w:t xml:space="preserve">CC revenue growth (quarterly)</w:t>
            </w:r>
          </w:p>
        </w:tc>
        <w:tc>
          <w:tcPr>
            <w:tcW w:type="dxa" w:w="4360"/>
            <w:tcBorders>
              <w:top w:val="single" w:color="CCCCCC" w:sz="1"/>
              <w:left w:val="single" w:color="CCCCCC" w:sz="1"/>
              <w:bottom w:val="single" w:color="CCCCCC" w:sz="1"/>
              <w:right w:val="single" w:color="CCCCCC" w:sz="1"/>
            </w:tcBorders>
            <w:shd w:fill="FDF0D8" w:val="clear"/>
            <w:tcMar>
              <w:top w:type="dxa" w:w="40"/>
              <w:left w:type="dxa" w:w="80"/>
              <w:bottom w:type="dxa" w:w="40"/>
              <w:right w:type="dxa" w:w="80"/>
            </w:tcMar>
          </w:tcPr>
          <w:p>
            <w:pPr>
              <w:jc w:val="center"/>
            </w:pPr>
            <w:r>
              <w:rPr>
                <w:rFonts w:ascii="Arial" w:cs="Arial" w:eastAsia="Arial" w:hAnsi="Arial"/>
                <w:b/>
                <w:bCs/>
                <w:color w:val="854F0B"/>
                <w:sz w:val="18"/>
                <w:szCs w:val="18"/>
              </w:rPr>
              <w:t xml:space="preserve">Must-watch — Core re-rating trigger</w:t>
            </w:r>
          </w:p>
        </w:tc>
      </w:tr>
      <w:tr>
        <w:tc>
          <w:tcPr>
            <w:tcW w:type="dxa" w:w="5000"/>
            <w:tcBorders>
              <w:top w:val="single" w:color="CCCCCC" w:sz="1"/>
              <w:left w:val="single" w:color="CCCCCC" w:sz="1"/>
              <w:bottom w:val="single" w:color="CCCCCC" w:sz="1"/>
              <w:right w:val="single" w:color="CCCCCC" w:sz="1"/>
            </w:tcBorders>
            <w:shd w:fill="F4F3EF" w:val="clear"/>
            <w:tcMar>
              <w:top w:type="dxa" w:w="60"/>
              <w:left w:type="dxa" w:w="120"/>
              <w:bottom w:type="dxa" w:w="60"/>
              <w:right w:type="dxa" w:w="80"/>
            </w:tcMar>
          </w:tcPr>
          <w:p>
            <w:r>
              <w:rPr>
                <w:rFonts w:ascii="Arial" w:cs="Arial" w:eastAsia="Arial" w:hAnsi="Arial"/>
                <w:color w:val="5F5E5A"/>
                <w:sz w:val="19"/>
                <w:szCs w:val="19"/>
              </w:rPr>
              <w:t xml:space="preserve">AI revenue quarterly run-rate</w:t>
            </w:r>
          </w:p>
        </w:tc>
        <w:tc>
          <w:tcPr>
            <w:tcW w:type="dxa" w:w="4360"/>
            <w:tcBorders>
              <w:top w:val="single" w:color="CCCCCC" w:sz="1"/>
              <w:left w:val="single" w:color="CCCCCC" w:sz="1"/>
              <w:bottom w:val="single" w:color="CCCCCC" w:sz="1"/>
              <w:right w:val="single" w:color="CCCCCC" w:sz="1"/>
            </w:tcBorders>
            <w:shd w:fill="D6E8F8" w:val="clear"/>
            <w:tcMar>
              <w:top w:type="dxa" w:w="40"/>
              <w:left w:type="dxa" w:w="80"/>
              <w:bottom w:type="dxa" w:w="40"/>
              <w:right w:type="dxa" w:w="80"/>
            </w:tcMar>
          </w:tcPr>
          <w:p>
            <w:pPr>
              <w:jc w:val="center"/>
            </w:pPr>
            <w:r>
              <w:rPr>
                <w:rFonts w:ascii="Arial" w:cs="Arial" w:eastAsia="Arial" w:hAnsi="Arial"/>
                <w:b/>
                <w:bCs/>
                <w:color w:val="0C447C"/>
                <w:sz w:val="18"/>
                <w:szCs w:val="18"/>
              </w:rPr>
              <w:t xml:space="preserve">Key bull case driver</w:t>
            </w:r>
          </w:p>
        </w:tc>
      </w:tr>
      <w:tr>
        <w:tc>
          <w:tcPr>
            <w:tcW w:type="dxa" w:w="5000"/>
            <w:tcBorders>
              <w:top w:val="single" w:color="CCCCCC" w:sz="1"/>
              <w:left w:val="single" w:color="CCCCCC" w:sz="1"/>
              <w:bottom w:val="single" w:color="CCCCCC" w:sz="1"/>
              <w:right w:val="single" w:color="CCCCCC" w:sz="1"/>
            </w:tcBorders>
            <w:shd w:fill="F4F3EF" w:val="clear"/>
            <w:tcMar>
              <w:top w:type="dxa" w:w="60"/>
              <w:left w:type="dxa" w:w="120"/>
              <w:bottom w:type="dxa" w:w="60"/>
              <w:right w:type="dxa" w:w="80"/>
            </w:tcMar>
          </w:tcPr>
          <w:p>
            <w:r>
              <w:rPr>
                <w:rFonts w:ascii="Arial" w:cs="Arial" w:eastAsia="Arial" w:hAnsi="Arial"/>
                <w:color w:val="5F5E5A"/>
                <w:sz w:val="19"/>
                <w:szCs w:val="19"/>
              </w:rPr>
              <w:t xml:space="preserve">TCV deal wins (quarterly)</w:t>
            </w:r>
          </w:p>
        </w:tc>
        <w:tc>
          <w:tcPr>
            <w:tcW w:type="dxa" w:w="4360"/>
            <w:tcBorders>
              <w:top w:val="single" w:color="CCCCCC" w:sz="1"/>
              <w:left w:val="single" w:color="CCCCCC" w:sz="1"/>
              <w:bottom w:val="single" w:color="CCCCCC" w:sz="1"/>
              <w:right w:val="single" w:color="CCCCCC" w:sz="1"/>
            </w:tcBorders>
            <w:shd w:fill="D6E8F8" w:val="clear"/>
            <w:tcMar>
              <w:top w:type="dxa" w:w="40"/>
              <w:left w:type="dxa" w:w="80"/>
              <w:bottom w:type="dxa" w:w="40"/>
              <w:right w:type="dxa" w:w="80"/>
            </w:tcMar>
          </w:tcPr>
          <w:p>
            <w:pPr>
              <w:jc w:val="center"/>
            </w:pPr>
            <w:r>
              <w:rPr>
                <w:rFonts w:ascii="Arial" w:cs="Arial" w:eastAsia="Arial" w:hAnsi="Arial"/>
                <w:b/>
                <w:bCs/>
                <w:color w:val="0C447C"/>
                <w:sz w:val="18"/>
                <w:szCs w:val="18"/>
              </w:rPr>
              <w:t xml:space="preserve">Revenue visibility signal</w:t>
            </w:r>
          </w:p>
        </w:tc>
      </w:tr>
      <w:tr>
        <w:tc>
          <w:tcPr>
            <w:tcW w:type="dxa" w:w="5000"/>
            <w:tcBorders>
              <w:top w:val="single" w:color="CCCCCC" w:sz="1"/>
              <w:left w:val="single" w:color="CCCCCC" w:sz="1"/>
              <w:bottom w:val="single" w:color="CCCCCC" w:sz="1"/>
              <w:right w:val="single" w:color="CCCCCC" w:sz="1"/>
            </w:tcBorders>
            <w:shd w:fill="F4F3EF" w:val="clear"/>
            <w:tcMar>
              <w:top w:type="dxa" w:w="60"/>
              <w:left w:type="dxa" w:w="120"/>
              <w:bottom w:type="dxa" w:w="60"/>
              <w:right w:type="dxa" w:w="80"/>
            </w:tcMar>
          </w:tcPr>
          <w:p>
            <w:r>
              <w:rPr>
                <w:rFonts w:ascii="Arial" w:cs="Arial" w:eastAsia="Arial" w:hAnsi="Arial"/>
                <w:color w:val="5F5E5A"/>
                <w:sz w:val="19"/>
                <w:szCs w:val="19"/>
              </w:rPr>
              <w:t xml:space="preserve">EBIT margin stability (~25%)</w:t>
            </w:r>
          </w:p>
        </w:tc>
        <w:tc>
          <w:tcPr>
            <w:tcW w:type="dxa" w:w="4360"/>
            <w:tcBorders>
              <w:top w:val="single" w:color="CCCCCC" w:sz="1"/>
              <w:left w:val="single" w:color="CCCCCC" w:sz="1"/>
              <w:bottom w:val="single" w:color="CCCCCC" w:sz="1"/>
              <w:right w:val="single" w:color="CCCCCC" w:sz="1"/>
            </w:tcBorders>
            <w:shd w:fill="E4F1D5" w:val="clear"/>
            <w:tcMar>
              <w:top w:type="dxa" w:w="40"/>
              <w:left w:type="dxa" w:w="80"/>
              <w:bottom w:type="dxa" w:w="40"/>
              <w:right w:type="dxa" w:w="80"/>
            </w:tcMar>
          </w:tcPr>
          <w:p>
            <w:pPr>
              <w:jc w:val="center"/>
            </w:pPr>
            <w:r>
              <w:rPr>
                <w:rFonts w:ascii="Arial" w:cs="Arial" w:eastAsia="Arial" w:hAnsi="Arial"/>
                <w:b/>
                <w:bCs/>
                <w:color w:val="3B6D11"/>
                <w:sz w:val="18"/>
                <w:szCs w:val="18"/>
              </w:rPr>
              <w:t xml:space="preserve">Tracking well — Watch for salary cycle impact</w:t>
            </w:r>
          </w:p>
        </w:tc>
      </w:tr>
      <w:tr>
        <w:tc>
          <w:tcPr>
            <w:tcW w:type="dxa" w:w="5000"/>
            <w:tcBorders>
              <w:top w:val="single" w:color="CCCCCC" w:sz="1"/>
              <w:left w:val="single" w:color="CCCCCC" w:sz="1"/>
              <w:bottom w:val="single" w:color="CCCCCC" w:sz="1"/>
              <w:right w:val="single" w:color="CCCCCC" w:sz="1"/>
            </w:tcBorders>
            <w:shd w:fill="F4F3EF" w:val="clear"/>
            <w:tcMar>
              <w:top w:type="dxa" w:w="60"/>
              <w:left w:type="dxa" w:w="120"/>
              <w:bottom w:type="dxa" w:w="60"/>
              <w:right w:type="dxa" w:w="80"/>
            </w:tcMar>
          </w:tcPr>
          <w:p>
            <w:r>
              <w:rPr>
                <w:rFonts w:ascii="Arial" w:cs="Arial" w:eastAsia="Arial" w:hAnsi="Arial"/>
                <w:color w:val="5F5E5A"/>
                <w:sz w:val="19"/>
                <w:szCs w:val="19"/>
              </w:rPr>
              <w:t xml:space="preserve">FII holding trend</w:t>
            </w:r>
          </w:p>
        </w:tc>
        <w:tc>
          <w:tcPr>
            <w:tcW w:type="dxa" w:w="4360"/>
            <w:tcBorders>
              <w:top w:val="single" w:color="CCCCCC" w:sz="1"/>
              <w:left w:val="single" w:color="CCCCCC" w:sz="1"/>
              <w:bottom w:val="single" w:color="CCCCCC" w:sz="1"/>
              <w:right w:val="single" w:color="CCCCCC" w:sz="1"/>
            </w:tcBorders>
            <w:shd w:fill="FDF0D8" w:val="clear"/>
            <w:tcMar>
              <w:top w:type="dxa" w:w="40"/>
              <w:left w:type="dxa" w:w="80"/>
              <w:bottom w:type="dxa" w:w="40"/>
              <w:right w:type="dxa" w:w="80"/>
            </w:tcMar>
          </w:tcPr>
          <w:p>
            <w:pPr>
              <w:jc w:val="center"/>
            </w:pPr>
            <w:r>
              <w:rPr>
                <w:rFonts w:ascii="Arial" w:cs="Arial" w:eastAsia="Arial" w:hAnsi="Arial"/>
                <w:b/>
                <w:bCs/>
                <w:color w:val="854F0B"/>
                <w:sz w:val="18"/>
                <w:szCs w:val="18"/>
              </w:rPr>
              <w:t xml:space="preserve">Declining — Monitor for stabilisation</w:t>
            </w:r>
          </w:p>
        </w:tc>
      </w:tr>
      <w:tr>
        <w:tc>
          <w:tcPr>
            <w:tcW w:type="dxa" w:w="5000"/>
            <w:tcBorders>
              <w:top w:val="single" w:color="CCCCCC" w:sz="1"/>
              <w:left w:val="single" w:color="CCCCCC" w:sz="1"/>
              <w:bottom w:val="single" w:color="CCCCCC" w:sz="1"/>
              <w:right w:val="single" w:color="CCCCCC" w:sz="1"/>
            </w:tcBorders>
            <w:shd w:fill="F4F3EF" w:val="clear"/>
            <w:tcMar>
              <w:top w:type="dxa" w:w="60"/>
              <w:left w:type="dxa" w:w="120"/>
              <w:bottom w:type="dxa" w:w="60"/>
              <w:right w:type="dxa" w:w="80"/>
            </w:tcMar>
          </w:tcPr>
          <w:p>
            <w:r>
              <w:rPr>
                <w:rFonts w:ascii="Arial" w:cs="Arial" w:eastAsia="Arial" w:hAnsi="Arial"/>
                <w:color w:val="5F5E5A"/>
                <w:sz w:val="19"/>
                <w:szCs w:val="19"/>
              </w:rPr>
              <w:t xml:space="preserve">Legal/regulatory outcomes</w:t>
            </w:r>
          </w:p>
        </w:tc>
        <w:tc>
          <w:tcPr>
            <w:tcW w:type="dxa" w:w="4360"/>
            <w:tcBorders>
              <w:top w:val="single" w:color="CCCCCC" w:sz="1"/>
              <w:left w:val="single" w:color="CCCCCC" w:sz="1"/>
              <w:bottom w:val="single" w:color="CCCCCC" w:sz="1"/>
              <w:right w:val="single" w:color="CCCCCC" w:sz="1"/>
            </w:tcBorders>
            <w:shd w:fill="FDEAEA" w:val="clear"/>
            <w:tcMar>
              <w:top w:type="dxa" w:w="40"/>
              <w:left w:type="dxa" w:w="80"/>
              <w:bottom w:type="dxa" w:w="40"/>
              <w:right w:type="dxa" w:w="80"/>
            </w:tcMar>
          </w:tcPr>
          <w:p>
            <w:pPr>
              <w:jc w:val="center"/>
            </w:pPr>
            <w:r>
              <w:rPr>
                <w:rFonts w:ascii="Arial" w:cs="Arial" w:eastAsia="Arial" w:hAnsi="Arial"/>
                <w:b/>
                <w:bCs/>
                <w:color w:val="A32D2D"/>
                <w:sz w:val="18"/>
                <w:szCs w:val="18"/>
              </w:rPr>
              <w:t xml:space="preserve">USD 70M impact in Q1 FY27; monitor Nashik case</w:t>
            </w:r>
          </w:p>
        </w:tc>
      </w:tr>
      <w:tr>
        <w:tc>
          <w:tcPr>
            <w:tcW w:type="dxa" w:w="5000"/>
            <w:tcBorders>
              <w:top w:val="single" w:color="CCCCCC" w:sz="1"/>
              <w:left w:val="single" w:color="CCCCCC" w:sz="1"/>
              <w:bottom w:val="single" w:color="CCCCCC" w:sz="1"/>
              <w:right w:val="single" w:color="CCCCCC" w:sz="1"/>
            </w:tcBorders>
            <w:shd w:fill="F4F3EF" w:val="clear"/>
            <w:tcMar>
              <w:top w:type="dxa" w:w="60"/>
              <w:left w:type="dxa" w:w="120"/>
              <w:bottom w:type="dxa" w:w="60"/>
              <w:right w:type="dxa" w:w="80"/>
            </w:tcMar>
          </w:tcPr>
          <w:p>
            <w:r>
              <w:rPr>
                <w:rFonts w:ascii="Arial" w:cs="Arial" w:eastAsia="Arial" w:hAnsi="Arial"/>
                <w:color w:val="5F5E5A"/>
                <w:sz w:val="19"/>
                <w:szCs w:val="19"/>
              </w:rPr>
              <w:t xml:space="preserve">Debtor days (DSO)</w:t>
            </w:r>
          </w:p>
        </w:tc>
        <w:tc>
          <w:tcPr>
            <w:tcW w:type="dxa" w:w="4360"/>
            <w:tcBorders>
              <w:top w:val="single" w:color="CCCCCC" w:sz="1"/>
              <w:left w:val="single" w:color="CCCCCC" w:sz="1"/>
              <w:bottom w:val="single" w:color="CCCCCC" w:sz="1"/>
              <w:right w:val="single" w:color="CCCCCC" w:sz="1"/>
            </w:tcBorders>
            <w:shd w:fill="FDF0D8" w:val="clear"/>
            <w:tcMar>
              <w:top w:type="dxa" w:w="40"/>
              <w:left w:type="dxa" w:w="80"/>
              <w:bottom w:type="dxa" w:w="40"/>
              <w:right w:type="dxa" w:w="80"/>
            </w:tcMar>
          </w:tcPr>
          <w:p>
            <w:pPr>
              <w:jc w:val="center"/>
            </w:pPr>
            <w:r>
              <w:rPr>
                <w:rFonts w:ascii="Arial" w:cs="Arial" w:eastAsia="Arial" w:hAnsi="Arial"/>
                <w:b/>
                <w:bCs/>
                <w:color w:val="854F0B"/>
                <w:sz w:val="18"/>
                <w:szCs w:val="18"/>
              </w:rPr>
              <w:t xml:space="preserve">Rising trend — Watch for improvement</w:t>
            </w:r>
          </w:p>
        </w:tc>
      </w:tr>
    </w:tbl>
    <w:p>
      <w:pPr>
        <w:spacing w:after="0" w:before="200"/>
      </w:pPr>
    </w:p>
    <w:p>
      <w:pPr>
        <w:pBdr>
          <w:bottom w:val="single" w:color="CCCCCC" w:sz="12" w:space="1"/>
        </w:pBdr>
        <w:spacing w:after="60" w:before="60"/>
      </w:pPr>
    </w:p>
    <w:p>
      <w:pPr>
        <w:pBdr>
          <w:left w:val="single" w:color="A32D2D" w:sz="12" w:space="8"/>
        </w:pBdr>
        <w:shd w:fill="F4F3EF" w:val="clear"/>
        <w:spacing w:after="40" w:before="80"/>
        <w:ind w:left="120"/>
      </w:pPr>
      <w:r>
        <w:rPr>
          <w:rFonts w:ascii="Arial" w:cs="Arial" w:eastAsia="Arial" w:hAnsi="Arial"/>
          <w:b/>
          <w:bCs/>
          <w:color w:val="A32D2D"/>
          <w:sz w:val="18"/>
          <w:szCs w:val="18"/>
        </w:rPr>
        <w:t xml:space="preserve">Disclaimer</w:t>
      </w:r>
    </w:p>
    <w:p>
      <w:pPr>
        <w:shd w:fill="F4F3EF" w:val="clear"/>
        <w:spacing w:after="80" w:before="40"/>
        <w:ind w:left="120"/>
      </w:pPr>
      <w:r>
        <w:rPr>
          <w:rFonts w:ascii="Arial" w:cs="Arial" w:eastAsia="Arial" w:hAnsi="Arial"/>
          <w:i/>
          <w:iCs/>
          <w:color w:val="5F5E5A"/>
          <w:sz w:val="17"/>
          <w:szCs w:val="17"/>
        </w:rPr>
        <w:t xml:space="preserve">This document is prepared for educational and informational purposes only. It is NOT investment advice and does NOT constitute a buy, sell, or hold recommendation for TCS or any other security. All financial data is sourced from publicly available information including Screener.in, Tickertape, MarketsMojo, and TCS investor relations releases (FY26). Some figures are estimates or approximations. Markets are subject to risk. Please consult a SEBI-registered investment advisor before making any investment decision. The preparer accepts no liability for decisions made based on this report.</w:t>
      </w:r>
    </w:p>
    <w:p>
      <w:pPr>
        <w:shd w:fill="F4F3EF" w:val="clear"/>
        <w:spacing w:after="60" w:before="40"/>
        <w:ind w:left="120"/>
      </w:pPr>
      <w:r>
        <w:rPr>
          <w:rFonts w:ascii="Arial" w:cs="Arial" w:eastAsia="Arial" w:hAnsi="Arial"/>
          <w:color w:val="5F5E5A"/>
          <w:sz w:val="16"/>
          <w:szCs w:val="16"/>
        </w:rPr>
        <w:t xml:space="preserve">Sources: Screener.in, Tickertape, MarketsMojo, TCS Q4 FY26 Press Release (Apr 9, 2026), NSE/BSE filings.  Prepared: June 23, 2026.</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1"/>
      </w:pBdr>
      <w:tabs>
        <w:tab w:val="right" w:pos="9000"/>
      </w:tabs>
      <w:spacing w:after="0" w:before="80"/>
    </w:pPr>
    <w:r>
      <w:rPr>
        <w:rFonts w:ascii="Arial" w:cs="Arial" w:eastAsia="Arial" w:hAnsi="Arial"/>
        <w:color w:val="5F5E5A"/>
        <w:sz w:val="16"/>
        <w:szCs w:val="16"/>
      </w:rPr>
      <w:t xml:space="preserve">⚠ Not investment advice. Verify all figures independently.</w:t>
    </w:r>
    <w:r>
      <w:rPr>
        <w:rFonts w:ascii="Arial" w:cs="Arial" w:eastAsia="Arial" w:hAnsi="Arial"/>
        <w:color w:val="5F5E5A"/>
        <w:sz w:val="16"/>
        <w:szCs w:val="16"/>
      </w:rPr>
      <w:t xml:space="preserve">	Page </w:t>
    </w:r>
    <w:pgNum/>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85FA5" w:sz="6" w:space="1"/>
      </w:pBdr>
      <w:spacing w:after="80" w:before="0"/>
    </w:pPr>
    <w:r>
      <w:rPr>
        <w:rFonts w:ascii="Arial" w:cs="Arial" w:eastAsia="Arial" w:hAnsi="Arial"/>
        <w:b/>
        <w:bCs/>
        <w:color w:val="185FA5"/>
        <w:sz w:val="18"/>
        <w:szCs w:val="18"/>
      </w:rPr>
      <w:t xml:space="preserve">TCS — Fundamental Research Deep Dive</w:t>
    </w:r>
    <w:r>
      <w:rPr>
        <w:rFonts w:ascii="Arial" w:cs="Arial" w:eastAsia="Arial" w:hAnsi="Arial"/>
        <w:color w:val="5F5E5A"/>
        <w:sz w:val="18"/>
        <w:szCs w:val="18"/>
      </w:rPr>
      <w:t xml:space="preserve">   |   Tata Consultancy Services Ltd (NSE: TCS)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2026-06-23T18:01:39.404Z</dcterms:created>
  <dcterms:modified xsi:type="dcterms:W3CDTF">2026-06-23T18:01:39.426Z</dcterms:modified>
</cp:coreProperties>
</file>

<file path=docProps/custom.xml><?xml version="1.0" encoding="utf-8"?>
<Properties xmlns="http://schemas.openxmlformats.org/officeDocument/2006/custom-properties" xmlns:vt="http://schemas.openxmlformats.org/officeDocument/2006/docPropsVTypes"/>
</file>