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60"/>
      </w:pPr>
      <w:r>
        <w:rPr>
          <w:rFonts w:ascii="Times New Roman" w:hAnsi="Times New Roman" w:eastAsia="仿宋"/>
          <w:b w:val="0"/>
          <w:sz w:val="24"/>
        </w:rPr>
      </w:r>
    </w:p>
    <w:p>
      <w:pPr>
        <w:spacing w:line="360" w:lineRule="auto" w:after="60"/>
        <w:jc w:val="center"/>
      </w:pPr>
      <w:r>
        <w:rPr>
          <w:rFonts w:ascii="Times New Roman" w:hAnsi="Times New Roman" w:eastAsia="仿宋"/>
          <w:b/>
          <w:sz w:val="48"/>
        </w:rPr>
        <w:t>衡文云审项目实现方案</w:t>
      </w:r>
    </w:p>
    <w:p>
      <w:pPr>
        <w:spacing w:line="360" w:lineRule="auto" w:after="60"/>
      </w:pPr>
      <w:r>
        <w:rPr>
          <w:rFonts w:ascii="Times New Roman" w:hAnsi="Times New Roman" w:eastAsia="仿宋"/>
          <w:b w:val="0"/>
          <w:sz w:val="24"/>
        </w:rPr>
      </w:r>
    </w:p>
    <w:p>
      <w:pPr>
        <w:spacing w:line="360" w:lineRule="auto" w:after="60"/>
        <w:jc w:val="center"/>
      </w:pPr>
      <w:r>
        <w:rPr>
          <w:rFonts w:ascii="Times New Roman" w:hAnsi="Times New Roman" w:eastAsia="仿宋"/>
          <w:b/>
          <w:sz w:val="32"/>
        </w:rPr>
        <w:t>项目名称：衡文云审——面向本科毕业设计的全过程智能论文评审系统</w:t>
      </w:r>
    </w:p>
    <w:p>
      <w:pPr>
        <w:spacing w:line="360" w:lineRule="auto" w:after="60"/>
        <w:jc w:val="center"/>
      </w:pPr>
      <w:r>
        <w:rPr>
          <w:rFonts w:ascii="Times New Roman" w:hAnsi="Times New Roman" w:eastAsia="仿宋"/>
          <w:b/>
          <w:sz w:val="32"/>
        </w:rPr>
        <w:t>团队名称：____________________</w:t>
      </w:r>
    </w:p>
    <w:p>
      <w:r>
        <w:br w:type="page"/>
      </w:r>
    </w:p>
    <w:p>
      <w:pPr>
        <w:spacing w:line="360" w:lineRule="auto" w:after="60"/>
        <w:jc w:val="center"/>
      </w:pPr>
      <w:r>
        <w:rPr>
          <w:rFonts w:ascii="Times New Roman" w:hAnsi="Times New Roman" w:eastAsia="仿宋"/>
          <w:b/>
          <w:sz w:val="32"/>
        </w:rPr>
        <w:t>目  录</w:t>
      </w:r>
    </w:p>
    <w:p>
      <w:r/>
      <w:fldSimple w:instr="TOC \o &quot;1-2&quot; \h \z \u">
        <w:r>
          <w:t>（请在 Word 中右键“更新域”生成目录）</w:t>
        </w:r>
      </w:fldSimple>
    </w:p>
    <w:p>
      <w:r>
        <w:br w:type="page"/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32"/>
        </w:rPr>
        <w:t>第一章 项目介绍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28"/>
        </w:rPr>
        <w:t>1.1 项目概况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本科毕业设计（论文）评审是高校人才培养的关键环节，其核心文档——18 维预审表（论文格式、论文选题、论文水平、能力技能、论文质量五大类 18 个子项）要求评审教师对每篇论文逐项评定并给出百分制总评与修改建议。实践中该环节存在三大核心难点：一是“量大”，毕业季数百篇论文须在短时间内完成评审，教师工作负荷重；二是“一致性差”，评审标准高度依赖个人经验，不同教师对同一篇论文评分差异显著，且标准随学期漂移；三是“可复现性弱”，评分结论通常缺少可追溯的原文证据支撑，学生难以依建议有效修改。此外，生成式人工智能普及后，论文中机器生成内容比例上升，现有流程缺少面向中文论文的 AIGC 使用检测手段，学术诚信审查难以落地。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针对上述痛点，本作品“衡文云审”提出以“证据导向的多智能体辩论评审”为核心的全过程智能论文评审方案：将教学单位沿用的 18 维预审表与完整评审流程（上传解析→论文分类→章节抽取→评审→修改建议→评分→存档）全部流程化、自动化，并构建四项关键技术能力。（1）多智能体辩论框架：将评审拆分为三个职责明确的“专家”独立初审，由“评审主席”识别争议并定向质询，最终裁决强制绑定原文段落或外部证据；（2）大模型微调：基于 Qwen3-8B 采用 QLoRA 微调“全局质量”评审专家，提升全中文结构规范评审能力；（3）历史评审经验激活：将历年专家评审建议清洗入库，构建“稠密向量＋BM25→RRF 融合→语义重排”的混合检索，使新评审可即时借鉴同类历史评审意见；（4）面向中文论文的 AIGC 检测：在本地 GPU 批量运行开源中文 AIGC 检测模型，输出全文逐窗口色块置信标注，并生成独立检测报告。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系统采用“前端 React ＋ 后端 FastAPI”的一体化 Web 应用形态。教师上传 PDF（兼容扫描件与公式图表），系统经云端结构化解析与本地推理后，自动生成结构化评审报告（章节评价、修改建议、证据链接、18 维预审表）与 AIGC 检测报告，并支持一键导出 Word 与评审表 PDF。以教师人工评审为基准对 114 篇论文进行配对评测：评分等级一致率达 73.7%，平均绝对误差（MAE）5.25 分，|Δ|≤10 分的样本占 88.6%，18 维逐项打分精确一致率 89.9%；单篇论文评审由人工数小时缩短至分钟级并支持批量并发；全部关键组件支持离线一键部署，便于在竞赛与校内环境中复现。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32"/>
        </w:rPr>
        <w:t>第二章 项目实施方案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28"/>
        </w:rPr>
        <w:t>2.1 数据采集与清洗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论文语料：收集校内历年本科毕业设计论文（经授权用于教学评审）与配套专家评审表，统一去标识化（学号、姓名脱敏）后入库；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结构化解析：对接 MinerU 云端结构化引擎（vlm 版本）对 PDF 进行版面分析，输出保留表格、公式、脚注的规范化文本；解析失败自动重试并做分页控制；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历史建议库：抽取专家评审意见与修改建议，经去重、去乱码、敏感信息过滤，形成 541 条高质量“历史评审建议”样本库，并按论文类型与问题类型建立索引；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评测基准：沉淀 114 篇“教师评审 ↔ 系统输出”配对数据作为准确率评测基准；另构建 AIGC 检测滑窗样本用于检测能力验证。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28"/>
        </w:rPr>
        <w:t>2.2 理论推导与设计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评审流程采用“独立初审→主席争议识别→定向质询→证据裁决”的辩论式机制：三专家基于同一全文各自独立给出视角意见，主席比较三份意见定位分歧，仅将分歧点定向下发给相关专家交叉质询，最终由主席基于原文证据与应答质量裁决，避免多数投票带来的思路趋同。同时设置“证据边界”硬约束：高严重度结论必须给出原文引用或外部证据，否则强制降低置信度并转人工复核，该约束以 Pydantic 模式校验在管线层强制执行。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历史建议检索采用“稠密向量（BGE-M3）＋关键词（BM25）→倒数排名融合（RRF）→语义重排（Qwen3-Reranker）”的三级检索结构，通过检索阈值控制注入建议的数量与相关性，避免噪声干扰评审结论。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28"/>
        </w:rPr>
        <w:t>2.3 关键算法实现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兼容原 Step1-7 评审管线：论文分类、章节抽取、检索建议、逐章评审、修改建议、18 维评分全部保留，并在核心评审环节以多智能体管线增强；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三个专家视角：科学严谨性（理论、方法、结论一致性）、实证证据（实验设计、基线、消融、可复现性）、全局质量（结构、工作量、表达）；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18 维预审表生成：按五大类 18 细项逐项打分，自动生成总分、等级与修改建议，并经 LaTeX 模板（tectonic 离线引擎）排版导出 PDF 评审表，与校内标准表格逐字一致。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28"/>
        </w:rPr>
        <w:t>2.4 代码架构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后端采用“领域—端口—服务”分层：领域层定义评审输入输出模式与证据约束，端口层封装外部接口，服务层实现工作流编排、微调专家、历史建议检索与 AIGC 检测；模块按 ingestion（解析）、agents（三专家与主席）、routers（证据检索）、services（任务流）、models（检测模型）、assets（模板）划分。技术栈为 Python/FastAPI＋SQLite＋异步并发，前端为 React18＋Vite（评审报告与检测可视化）。系统总体架构如图 1 所示。</w:t>
      </w:r>
    </w:p>
    <w:p>
      <w:pPr>
        <w:spacing w:line="360" w:lineRule="auto" w:after="60"/>
      </w:pPr>
      <w:r>
        <w:rPr>
          <w:rFonts w:ascii="Times New Roman" w:hAnsi="Times New Roman" w:eastAsia="仿宋"/>
          <w:b w:val="0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85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85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0"/>
        <w:jc w:val="center"/>
      </w:pPr>
      <w:r>
        <w:rPr>
          <w:rFonts w:ascii="Times New Roman" w:hAnsi="Times New Roman" w:eastAsia="仿宋"/>
          <w:b w:val="0"/>
          <w:sz w:val="21"/>
        </w:rPr>
        <w:t>图 1 系统总体架构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28"/>
        </w:rPr>
        <w:t>2.5 系统搭建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服务编排：上传→解析→评审→出报告全流程状态机，任务可重试、可断点，Web 端支持批量提交；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云边协同：文本生成与外部证据检索借助 SiliconFlow（DeepSeek-V4-Pro）与 OpenAlex 开放学术数据，AIGC 检测采用本地 7×RTX3090 批式推理，实现数据不出校；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部署交付：提供一键安装/启动/停止/健康检查脚本，离线资产（AIGC 权重、LaTeX 宏包）随包分发，支持内网一键复现。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28"/>
        </w:rPr>
        <w:t>2.6 模型训练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训练基座：Qwen3-8B＋QLoRA（4-bit NF4 双量化，r=16，alpha=32，dropout=0.05），LoRA 仅适配自注意力 q/k/v/o 投影；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训练策略：3 轮余弦退火（峰值学习率 1e-4，warmup 5%），bf16＋梯度检查点，序列长度 4096，以评估集损失（eval_loss）选最优权重；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训练数据为中文结构规范评审样本，输出 8 类问题定位（学术表达、歧义、冗余、逻辑跳跃、章节职责、摘要完整性、术语一致性、证据结论失配）与 4 级严重度（trivial/minor/major/critical）的结构化 JSON；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评测：在独立评估集上与未微调基座对比问题召回与格式合规率，微调后格式合规与细粒度问题定位显著提升。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32"/>
        </w:rPr>
        <w:t>第三章 项目创新性分析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28"/>
        </w:rPr>
        <w:t>3.1 理念与方法创新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证据导向的辩论式评审：不同于“一次推理直接出分”，通过多专家独立初审＋主席争议裁决，将评分结论转化为可追溯的证据链，显著抑制“幻觉式批评”；以数据约束而非提示词软约束实现“无证据则降置信或转人工”，保证评审可复现、可追责。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28"/>
        </w:rPr>
        <w:t>3.2 应用场景创新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聚焦本科毕设评审这一高强度、强结构化的高频场景，直接复用教学单位现用 18 维预审表格式，输出物即“可用成品”，与既有教学流程零改造衔接；AIGC 检测定位为“人工复核的提示”而非“鉴定结论”，契合学位论文诚信审查的治理边界。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28"/>
        </w:rPr>
        <w:t>3.3 技术实现创新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历史评审经验闭环：评审产生的建议经清洗回流建议库，形成“积累—复用—再积累”的自增强闭环；检索采用稠密＋BM25＋RRF＋重排三级融合，在专用场景优于单路向量检索；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全开源可复现：以 Apache-2.0 许可的开源模型家族（Qwen3、BGE-M3、Qwen3-Reranker）完成“推理—微调—检索—检测”全链路，关键资产本地化，数据不出校；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自动化文档生产：18 维评审表等规范文书由 LaTeX 模板自动排版导出，与校内标准格式逐字一致。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32"/>
        </w:rPr>
        <w:t>第四章 项目实现成果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28"/>
        </w:rPr>
        <w:t>4.1 系统成果（工程能力）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全流程打通：上传 PDF→结构化解析（扫描件、公式、表格）→多智能体评审→证据链报告→18 维预审表 PDF→AIGC 检测报告，端到端可用；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评测资产齐备：541 条历史建议库、114 篇配对评测集、QLoRA 微调适配器（约 60MB）可随作品复现评测；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一键部署：完整的安装/启动/停止/健康检查脚本与离线权重（AIGC 391MB＋LaTeX 宏包）打包分发，部署包≤600MB。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28"/>
        </w:rPr>
        <w:t>4.2 质量成果（与教师人工基准配对评测，114 篇）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评分等级一致率 73.7%；MAE=5.25 分，|Δ|≤5 分样本占 75.4%、|Δ|≤10 分样本占 88.6%；Pearson 相关系数 0.828；AI 评分整体平均偏高约 5 分，已在报告中提示委员会校准；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18 维预审表逐项精确一致率 89.9%，其中“参考文献著录格式”一致率最低（48%），已定位为该维度打分规则优化重点；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评分偏差与 18 维一致率逐篇分布见附件图（另附偏差折线与逐维一致率图）。</w:t>
      </w:r>
    </w:p>
    <w:p>
      <w:pPr>
        <w:spacing w:line="360" w:lineRule="auto" w:after="60"/>
      </w:pPr>
      <w:r>
        <w:rPr>
          <w:rFonts w:ascii="Times New Roman" w:hAnsi="Times New Roman" w:eastAsia="仿宋"/>
          <w:b w:val="0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16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性能测试结果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16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0"/>
        <w:jc w:val="center"/>
      </w:pPr>
      <w:r>
        <w:rPr>
          <w:rFonts w:ascii="Times New Roman" w:hAnsi="Times New Roman" w:eastAsia="仿宋"/>
          <w:b w:val="0"/>
          <w:sz w:val="21"/>
        </w:rPr>
        <w:t>图 2 性能测试结果表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28"/>
        </w:rPr>
        <w:t>4.3 性能成果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单篇论文端到端评审（含结构化解析与多智能体推理）达到分钟级，支持批量并发提交；AIGC 检测采用本地 GPU 批式推理、整体吞吐显著高于逐篇在线处理；相关吞吐与时延数据见性能测试结果表（图 2）。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32"/>
        </w:rPr>
        <w:t>第五章 项目合规风险分析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28"/>
        </w:rPr>
        <w:t>5.1 数据合规风险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论文与评审数据属教育教学数据并涉及个人信息。应对措施：数据仅存于校内自有服务器，展示层对学号、姓名脱敏；AIGC 检测仅存储内容 SHA-256 摘要，不保存明文比对原文；云端解析选择境内合规服务商（MinerU、SiliconFlow），配置中约定数据用途并最小化传输范围。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28"/>
        </w:rPr>
        <w:t>5.2 使用合规与伦理性风险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AIGC 检测阈值（0.5/0.8）尚未按本校论文语料校准，存在误报可能，若被误用作纪律处分依据将引发争议。应对措施：在检测报告显著位置声明“结果仅供教师参考，不作为学术不端判定依据”，并依《学位法》及校内细则由专家人工复核后生效。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28"/>
        </w:rPr>
        <w:t>5.3 知识产权风险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系统集成开源组件（Qwen3、BGE、Qwen3-Reranker、LoRA/QLoRA、Chroma、React 等），各组件许可证在教育教学与交付使用场景下均允许；评审表 LaTeX 模板源自校内规范文件，不涉及对外授权。应对措施：随包附组件清单与许可证说明，预留合规审查。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28"/>
        </w:rPr>
        <w:t>5.4 业务与运营风险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评审主链路依赖第三方付费云 API（文本生成、PDF 结构化解析），存在余额耗尽、限流与服务波动风险。应对措施：内置自动重试与失败重试机制、离线降级路径（AIGC 本地化、LaTeX 离线），并提供余额告警与故障排查文档。</w:t>
      </w:r>
    </w:p>
    <w:p>
      <w:pPr>
        <w:spacing w:line="360" w:lineRule="auto" w:after="60"/>
      </w:pPr>
      <w:r>
        <w:rPr>
          <w:rFonts w:ascii="Times New Roman" w:hAnsi="Times New Roman" w:eastAsia="仿宋"/>
          <w:b/>
          <w:sz w:val="32"/>
        </w:rPr>
        <w:t>第六章 参考文献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[1] Qwen Team. Qwen3 Technical Report[R]. arXiv:2505.09388, 2025.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[2] Hu E, Shen Y, Wallis P, et al. LoRA: Low-Rank Adaptation of Large Language Models[C]. ICLR, 2022. arXiv:2106.09685.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[3] Dettmers T, Pagnoni A, Holtzman A, et al. QLoRA: Efficient Finetuning of Quantized LLMs[C]. NeurIPS, 2023. arXiv:2305.14314.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[4] Chen J, Xiao S, Zhang P, et al. BGE M3-Embedding: Multi-Lingual, Multi-Functionality, Multi-Granularity Text Embeddings[EB/OL]. arXiv:2402.03216, 2024.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[5] Robertson S E, Zaragoza H. The Probabilistic Relevance Framework: BM25 and Beyond[J]. Foundations and Trends in Information Retrieval, 2009, 3(4): 333-389.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[6] Cormack G V, Clarke C L A, Buettcher S. Reciprocal Rank Fusion Outperforms Condorcet and Individual Rank Learning Methods[C]. SIGIR, 2009.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[7] Lewis P, Perez E, Piktus A, et al. Retrieval-Augmented Generation for Knowledge-Intensive NLP Tasks[C]. NeurIPS, 2020. arXiv:2005.11401.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[8] Irving G, Christiano P, Amodei D. AI Safety via Debate[EB/OL]. arXiv:1805.00899, 2018.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[9] Tian Y, Chen H, Wang X, et al. Multiscale Positive-Unlabeled Detection of AI-Generated Texts[C]. ICLR, 2024. arXiv:2305.18149.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[10] yuchuantian. AIGC_detector_zhv3: 面向最新大模型的中文 AI 写作内容检测模型（v3）[EB/OL]. Hugging Face, 2025. https://huggingface.co/yuchuantian/AIGC_detector_zhv3.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[11] SiliconFlow. 硅基流动开放平台 API 文档[EB/OL]. https://siliconflow.cn, 2025.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[12] MinerU. 高精度文档结构化解析引擎[EB/OL]. https://mineru.net, 2025.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仿宋"/>
          <w:b w:val="0"/>
          <w:sz w:val="24"/>
        </w:rPr>
        <w:t>• [13] Chroma. Chroma: AI 原生嵌入式向量数据库[EB/OL]. https://github.com/chroma-core/chroma, 2023.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