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Main Villain: A brilliant scientist, but they become obsessed with creating the perfect human specimen and are willing to go to any lengths to achieve this goal, including unethical experimentation and manipulating the genetics of unsuspecting individuals. They are motivated by a desire to prove their own superiority or to fundamentally alter the human race in some way. They see themselves as a kind of savior or benevolent leader, but their actions would ultimately be selfish and destructive.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Main Character Motivation: They have a strong sense of duty and desire to protect their community. As a hunter, they are responsible for tracking down and defeating dangerous monsters that pose a threat to the safety of the people they care about. They have personal reasons for wanting to become a hunter as well, such as a desire for adventure, the challenge of facing powerful foes, and a need to prove themselves. Being a hunter would allow the main character to make a meaningful contribution to the world and make a difference in the lives of others.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Main Conflict: The threat of an asteroid colliding with Earth and causing widespread destruction, indirectly caused by the main villain. The hero has to work to find a way to deflect the asteroid and save humanity from this catastrophic event. This involves developing a new technology, rallying support from other countries and organizations, and embarking on a mission to physically alter the asteroid’s course. There are many challenges and obstacles along the way, such as limited time, limited resources, and opposition from those who do not believe in the gravity of the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