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gcwiqbqim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Dictionary: event_study_table.csv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rows, one per FOMC announcement date (2023-02-01 to 2026-09-16). Sources: FOMC dates (Fed Board), sector ETFs (Yahoo Finance), FRED, Cleveland Fed, SF Fed USMPD.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l06w2o7es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Keys / Meta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4.97617787189"/>
        <w:gridCol w:w="7155.02382212811"/>
        <w:tblGridChange w:id="0">
          <w:tblGrid>
            <w:gridCol w:w="2204.97617787189"/>
            <w:gridCol w:w="7155.023822128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announcement_date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The FOMC meeting date this row covers. Second day of two-day meetings.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Calendar year of the meeting.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use_for_surprise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Always True in this file. Carried over from the source file, where it flags whether a meeting should count toward the surprise analysis. All 30 rows here already passed that filter.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5p24wvyq0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Treatment (the Fed surprise)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SF Fed U.S. Monetary Policy Event-Study Database (USMPD).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candidates</w:t>
      </w:r>
      <w:r w:rsidDel="00000000" w:rsidR="00000000" w:rsidRPr="00000000">
        <w:rPr>
          <w:rtl w:val="0"/>
        </w:rPr>
        <w:t xml:space="preserve">, pick one as your main regressor: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5.5055584965592"/>
        <w:gridCol w:w="8314.49444150344"/>
        <w:tblGridChange w:id="0">
          <w:tblGrid>
            <w:gridCol w:w="1045.5055584965592"/>
            <w:gridCol w:w="8314.49444150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Raw surprise: the change in fed funds futures implied for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  <w:t xml:space="preserve"> meeting, in a tight window around the announcement. This is the direct Kuttner-style measure your deck describes as Tool 1.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constructed surprise index built from several rate instruments at once (first principal component), for the statement-release window. A more processed alternative to MP1.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/ robustness columns</w:t>
      </w:r>
      <w:r w:rsidDel="00000000" w:rsidR="00000000" w:rsidRPr="00000000">
        <w:rPr>
          <w:rtl w:val="0"/>
        </w:rPr>
        <w:t xml:space="preserve">, use these to check that your results do not depend on which surprise measure you picked: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6.3208046585496"/>
        <w:gridCol w:w="7853.67919534145"/>
        <w:tblGridChange w:id="0">
          <w:tblGrid>
            <w:gridCol w:w="1506.3208046585496"/>
            <w:gridCol w:w="7853.67919534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Surprise in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implied rate for the next meeting</w:t>
            </w:r>
            <w:r w:rsidDel="00000000" w:rsidR="00000000" w:rsidRPr="00000000">
              <w:rPr>
                <w:rtl w:val="0"/>
              </w:rPr>
              <w:t xml:space="preserve">, not the current one. Captures forward guidance rather than the immediate decision.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Same idea as STMT, but for the press-conference window instead of the statement window.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Same idea as STMT, but for the full monetary-event window (statement plus press conference combined).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FF1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Change in fed funds futures for the 1st through 6th nearest monthly contracts.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ED1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Change in Eurodollar futures (SOFR futures from 2022 onward) for the 1st through 8th nearest quarterly contracts. Reflects surprises further out on the rate path.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 if this meeting included a Summary of Economic Projections (the "dot plot"), 0 if not.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 if this was an emergency/off-cycle meeting, 0 if regularly scheduled. All 30 rows here are 0.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1uk6inh7k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 (sector returns)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Yahoo Finance via yfinance. Simple daily return (percent change in adjusted close) on the announcement date.</w:t>
      </w:r>
    </w:p>
    <w:tbl>
      <w:tblPr>
        <w:tblStyle w:val="Table4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5100"/>
        <w:tblGridChange w:id="0">
          <w:tblGrid>
            <w:gridCol w:w="3465"/>
            <w:gridCol w:w="5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Financials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Utilities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Consumer Discretionary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Industrials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Energy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Health Care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Consumer Staples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ret_XLC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ret_SPY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S&amp;P 500 (the overall market, used as a benchmark or control, not a sector)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wl2vn4e10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Controls: FRED (macro / financial conditions)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Same-day value, plus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lagged_</w:t>
      </w:r>
      <w:r w:rsidDel="00000000" w:rsidR="00000000" w:rsidRPr="00000000">
        <w:rPr>
          <w:rtl w:val="0"/>
        </w:rPr>
        <w:t xml:space="preserve"> version (the prior trading day's value, before the announcement).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4.97617787189"/>
        <w:gridCol w:w="7155.02382212811"/>
        <w:tblGridChange w:id="0">
          <w:tblGrid>
            <w:gridCol w:w="2204.97617787189"/>
            <w:gridCol w:w="7155.023822128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VIXCLS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VIX, the market's expected volatility ("fear index").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DGS2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2-year Treasury yield.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DGS10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10-year Treasury yield.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T10Y2Y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Term spread (10-year minus 2-year yield). A negative value means an inverted yield curve.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DCOILWTICO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WTI crude oil price.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DTWEXBGS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Broad U.S. dollar index.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3-month Treasury bill rate.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BAMLC0A4CBBB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BBB-rated corporate bond spread over Treasuries (a measure of credit risk for lower-investment-grade debt).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BAMLC0A1CAAA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AAA-rated corporate bond spread over Treasuries (credit risk for the highest-grade debt).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BBB_minus_AAA_OAS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BBB spread minus AAA spread. A measure of the credit-risk premium, wider when the market is nervous about corporate credit.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Missing for 6 of 30 dates</w:t>
            </w:r>
            <w:r w:rsidDel="00000000" w:rsidR="00000000" w:rsidRPr="00000000">
              <w:rPr>
                <w:rtl w:val="0"/>
              </w:rPr>
              <w:t xml:space="preserve"> (2023-02-01 through 2023-09-20), before this series' data starts.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lagged_date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The exact calendar date each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lagged_*</w:t>
            </w:r>
            <w:r w:rsidDel="00000000" w:rsidR="00000000" w:rsidRPr="00000000">
              <w:rPr>
                <w:rtl w:val="0"/>
              </w:rPr>
              <w:t xml:space="preserve"> value was pulled from (an audit column, not a variable to use in modeling).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FRED column above has a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lagged_</w:t>
      </w:r>
      <w:r w:rsidDel="00000000" w:rsidR="00000000" w:rsidRPr="00000000">
        <w:rPr>
          <w:rtl w:val="0"/>
        </w:rPr>
        <w:t xml:space="preserve"> version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lagged_VIXCLS</w:t>
      </w:r>
      <w:r w:rsidDel="00000000" w:rsidR="00000000" w:rsidRPr="00000000">
        <w:rPr>
          <w:rtl w:val="0"/>
        </w:rPr>
        <w:t xml:space="preserve">), meaning that series' value on the prior trading day, before the announcement.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t7u0fvxqh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Controls: Cleveland Fed inflation expectations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recent published value as of the meeting date (corrected for true publication timing, not just the 1st-of-month label).</w:t>
      </w:r>
    </w:p>
    <w:tbl>
      <w:tblPr>
        <w:tblStyle w:val="Table6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795"/>
        <w:tblGridChange w:id="0">
          <w:tblGrid>
            <w:gridCol w:w="117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val_1yr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1-year expected inflation.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val_5yr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5-year expected inflation.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val_10yr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10-year expected inflation.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are decimals, not percentages (0.0261 means 2.61%).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ug9nm4ejc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gaps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BAMLC0A4CBBB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BAMLC0A1CAAA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BBB_minus_AAA_OAS</w:t>
      </w:r>
      <w:r w:rsidDel="00000000" w:rsidR="00000000" w:rsidRPr="00000000">
        <w:rPr>
          <w:rtl w:val="0"/>
        </w:rPr>
        <w:t xml:space="preserve"> (and their lagged versions): missing on 6 of 30 dates, all before 2023-09-22. Decide whether to drop these 6 meetings for models using this control, or run the model with and without it.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DCOILWTICO</w:t>
      </w:r>
      <w:r w:rsidDel="00000000" w:rsidR="00000000" w:rsidRPr="00000000">
        <w:rPr>
          <w:rtl w:val="0"/>
        </w:rPr>
        <w:t xml:space="preserve">: missing on 2026-09-16 only, due to a reporting lag at the time of the pull. Should backfill on a later pull.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