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unito" w:hAnsi="Nunito" w:cs="Nunito" w:eastAsia="Nunito"/>
          <w:color w:val="444748"/>
        </w:rPr>
        <w:drawing>
          <wp:inline xmlns:a="http://schemas.openxmlformats.org/drawingml/2006/main" xmlns:pic="http://schemas.openxmlformats.org/drawingml/2006/picture">
            <wp:extent cx="384048" cy="384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unito" w:hAnsi="Nunito" w:eastAsia="Nunito" w:cs="Nunito"/>
          <w:b/>
          <w:i w:val="0"/>
          <w:color w:val="000000"/>
          <w:sz w:val="50"/>
        </w:rPr>
        <w:t>FunniFin Workshop Planner</w:t>
      </w:r>
    </w:p>
    <w:p>
      <w:pPr>
        <w:pStyle w:val="Subtitle"/>
        <w:jc w:val="center"/>
      </w:pPr>
      <w:r>
        <w:rPr>
          <w:rFonts w:ascii="Nunito" w:hAnsi="Nunito" w:eastAsia="Nunito" w:cs="Nunito"/>
          <w:b w:val="0"/>
          <w:i w:val="0"/>
          <w:color w:val="000000"/>
          <w:sz w:val="20"/>
        </w:rPr>
        <w:t>Manuale Operators</w:t>
      </w:r>
    </w:p>
    <w:p>
      <w:pPr>
        <w:pStyle w:val="Subtitle"/>
        <w:jc w:val="center"/>
      </w:pPr>
      <w:r>
        <w:t>Guida operativa per FunniFin, Esperto e Brand</w:t>
        <w:br/>
        <w:t>Versione 2.2 · 19 giugno 2026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12" w:space="0" w:color="E0E3E3"/>
          <w:insideV w:val="single" w:sz="12" w:space="0" w:color="E0E3E3"/>
        </w:tblBorders>
      </w:tblPr>
      <w:tblGrid>
        <w:gridCol w:w="9994"/>
      </w:tblGrid>
      <w:tr>
        <w:trPr>
          <w:tblHeader w:val="true"/>
        </w:trPr>
        <w:tc>
          <w:tcPr>
            <w:tcW w:type="dxa" w:w="9994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000000"/>
                <w:sz w:val="17"/>
              </w:rPr>
              <w:t>AMBITO DEL MANUALE</w:t>
            </w:r>
          </w:p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000000"/>
                <w:sz w:val="17"/>
              </w:rPr>
              <w:t>Il manuale copre il percorso Cliente pubblico, le aree riservate FunniFin, Esperto e Brand, la gestione operativa dei progetti, le integrazioni Google Workspace e le notifiche email tramite Apps Script.</w:t>
            </w:r>
          </w:p>
        </w:tc>
      </w:tr>
    </w:tbl>
    <w:p/>
    <w:p>
      <w:pPr>
        <w:pStyle w:val="Subtitle"/>
      </w:pPr>
      <w:r>
        <w:rPr>
          <w:rFonts w:ascii="Nunito" w:hAnsi="Nunito" w:cs="Nunito" w:eastAsia="Nunito"/>
          <w:b w:val="0"/>
          <w:i w:val="0"/>
          <w:color w:val="444748"/>
          <w:sz w:val="20"/>
        </w:rPr>
        <w:t>Questo manuale descrive le funzionalità operative disponibili per ciascun ruolo e il flusso completo dalla richiesta cliente alla conferma evento.</w:t>
      </w:r>
    </w:p>
    <w:p>
      <w:pPr>
        <w:pStyle w:val="Subtitle"/>
      </w:pPr>
      <w:r>
        <w:t>Versione 2.2 - 19 giugno 2026: manuale esteso con schermate annotate, bottom action bar, centro notifiche, categorie, priorita, stati, mail operative e destinatari per fase.</w:t>
      </w:r>
    </w:p>
    <CT_P>
      <w:pPr>
        <w:pStyle w:val="Subtitle"/>
      </w:pPr>
      <w:r>
        <w:rPr>
          <w:b/>
          <w:rFonts w:ascii="Nunito" w:hAnsi="Nunito" w:cs="Nunito" w:eastAsia="Nunito"/>
        </w:rPr>
        <w:t xml:space="preserve">Versione 2.1 - 19 giugno 2026: </w:t>
      </w:r>
      <w:r>
        <w:t>allineata la guida ai flussi verificati: partenza Cliente senza interessi preselezionati, calendario Date dinamico su data corrente, centro notifiche con azioni cliccabili e controlli Google live.</w:t>
      </w:r>
    </CT_P>
    <w:p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cs="Nunito" w:eastAsia="Nunito"/>
          <w:color w:val="444748"/>
        </w:rPr>
      </w:r>
      <w:r>
        <w:rPr>
          <w:rFonts w:ascii="Nunito" w:hAnsi="Nunito" w:cs="Nunito" w:eastAsia="Nunito"/>
        </w:rPr>
      </w:r>
      <w:r>
        <w:br w:type="page"/>
      </w:r>
    </w:p>
    <w:p>
      <w:pPr>
        <w:pStyle w:val="Heading1"/>
      </w:pPr>
      <w:r>
        <w:rPr>
          <w:rFonts w:ascii="Nunito" w:hAnsi="Nunito" w:cs="Nunito" w:eastAsia="Nunito"/>
          <w:i w:val="0"/>
          <w:color w:val="444748"/>
        </w:rPr>
        <w:t>Indice</w:t>
      </w:r>
      <w:r>
        <w:rPr>
          <w:rFonts w:ascii="Nunito" w:hAnsi="Nunito" w:cs="Nunito" w:eastAsia="Nunito"/>
          <w:i w:val="0"/>
          <w:color w:val="444748"/>
        </w:rPr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- 1. Panoramica e ruoli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- 2. Accesso e sessione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- 3. Barra superiore, stato progetto e comandi comuni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- 4. Ruolo Cliente: costruire e inviare un percorso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- 5. Ruolo FunniFin: console operativa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- 6. Ruolo Esperto: candidature, incarichi e deck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- 7. Ruolo Brand: revisione materiali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- 8. Flusso end-to-end e stati progetto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- 9. Integrazioni Google Workspace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- 10. Problemi frequenti e azioni consigliate</w:t>
      </w:r>
    </w:p>
    <w:p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cs="Nunito" w:eastAsia="Nunito"/>
          <w:color w:val="444748"/>
        </w:rPr>
      </w:r>
      <w:r>
        <w:rPr>
          <w:rFonts w:ascii="Nunito" w:hAnsi="Nunito" w:cs="Nunito" w:eastAsia="Nunito"/>
        </w:rPr>
      </w:r>
      <w:r>
        <w:br w:type="page"/>
      </w:r>
    </w:p>
    <w:p>
      <w:pPr>
        <w:pStyle w:val="Heading1"/>
      </w:pPr>
      <w:r>
        <w:rPr>
          <w:rFonts w:ascii="Nunito" w:hAnsi="Nunito" w:cs="Nunito" w:eastAsia="Nunito"/>
          <w:i w:val="0"/>
          <w:color w:val="444748"/>
        </w:rPr>
        <w:t>1. Panoramica e ruoli</w:t>
      </w:r>
    </w:p>
    <w:p>
      <w:r>
        <w:rPr>
          <w:rFonts w:ascii="Nunito" w:hAnsi="Nunito" w:eastAsia="Nunito" w:cs="Nunito"/>
          <w:b/>
          <w:i w:val="0"/>
          <w:color w:val="000000"/>
          <w:sz w:val="50"/>
        </w:rPr>
        <w:t>FunniFin Workshop Planner è l’applicazione web usata per comporre, validare e portare a conferma percorsi workshop di educazione finanziaria. Il sistema collega richiesta cliente, preventivo, date, materiali, esperti, revisione brand e creazione evento Google Calendar in un unico flusso operativo.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12" w:space="0" w:color="E0E3E3"/>
          <w:insideV w:val="single" w:sz="12" w:space="0" w:color="E0E3E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/>
                <w:color w:val="000000"/>
                <w:sz w:val="17"/>
              </w:rPr>
            </w:r>
            <w:r>
              <w:rPr>
                <w:rFonts w:ascii="Nunito" w:hAnsi="Nunito" w:eastAsia="Nunito" w:cs="Nunito"/>
                <w:b/>
                <w:color w:val="000000"/>
                <w:sz w:val="17"/>
              </w:rPr>
              <w:t>Ruolo</w:t>
            </w:r>
          </w:p>
        </w:tc>
        <w:tc>
          <w:tcPr>
            <w:tcW w:type="dxa" w:w="2088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/>
                <w:color w:val="000000"/>
                <w:sz w:val="17"/>
              </w:rPr>
            </w:r>
            <w:r>
              <w:rPr>
                <w:rFonts w:ascii="Nunito" w:hAnsi="Nunito" w:eastAsia="Nunito" w:cs="Nunito"/>
                <w:b/>
                <w:color w:val="000000"/>
                <w:sz w:val="17"/>
              </w:rPr>
              <w:t>Accesso</w:t>
            </w:r>
          </w:p>
        </w:tc>
        <w:tc>
          <w:tcPr>
            <w:tcW w:type="dxa" w:w="6336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/>
                <w:color w:val="000000"/>
                <w:sz w:val="17"/>
              </w:rPr>
            </w:r>
            <w:r>
              <w:rPr>
                <w:rFonts w:ascii="Nunito" w:hAnsi="Nunito" w:eastAsia="Nunito" w:cs="Nunito"/>
                <w:b/>
                <w:color w:val="000000"/>
                <w:sz w:val="17"/>
              </w:rPr>
              <w:t>Responsabilità principali</w:t>
            </w:r>
          </w:p>
        </w:tc>
      </w:tr>
      <w:tr>
        <w:tc>
          <w:tcPr>
            <w:tcW w:type="dxa" w:w="1728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Cliente</w:t>
            </w:r>
          </w:p>
        </w:tc>
        <w:tc>
          <w:tcPr>
            <w:tcW w:type="dxa" w:w="2088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Pubblico, senza account</w:t>
            </w:r>
          </w:p>
        </w:tc>
        <w:tc>
          <w:tcPr>
            <w:tcW w:type="dxa" w:w="6336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Sceglie interessi e workshop, propone date, carica materiali facoltativi, inserisce i dati di contatto e invia la richiesta.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FunniFin</w:t>
            </w:r>
          </w:p>
        </w:tc>
        <w:tc>
          <w:tcPr>
            <w:tcW w:type="dxa" w:w="2088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Riservato, email + codice</w:t>
            </w:r>
          </w:p>
        </w:tc>
        <w:tc>
          <w:tcPr>
            <w:tcW w:type="dxa" w:w="6336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Gestisce coda richieste, date, esperti, catalogo, prezzi, Google backend, utenti e inviti. Può visualizzare l’app come Cliente, Esperto o Brand.</w:t>
            </w:r>
          </w:p>
        </w:tc>
      </w:tr>
      <w:tr>
        <w:tc>
          <w:tcPr>
            <w:tcW w:type="dxa" w:w="1728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Esperto</w:t>
            </w:r>
          </w:p>
        </w:tc>
        <w:tc>
          <w:tcPr>
            <w:tcW w:type="dxa" w:w="2088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Riservato, email + codice</w:t>
            </w:r>
          </w:p>
        </w:tc>
        <w:tc>
          <w:tcPr>
            <w:tcW w:type="dxa" w:w="6336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Consulta opportunità, invia candidature, vede incarichi assegnati e carica o seleziona deck da Drive.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nil" w:sz="0" w:space="0" w:color="auto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Brand</w:t>
            </w:r>
          </w:p>
        </w:tc>
        <w:tc>
          <w:tcPr>
            <w:tcW w:type="dxa" w:w="2088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nil" w:sz="0" w:space="0" w:color="auto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Riservato, email + codice</w:t>
            </w:r>
          </w:p>
        </w:tc>
        <w:tc>
          <w:tcPr>
            <w:tcW w:type="dxa" w:w="6336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nil" w:sz="0" w:space="0" w:color="auto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Rivede deck e materiali, approva o richiede modifiche, abilita il deck finale per Calendar.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12" w:space="0" w:color="E0E3E3"/>
          <w:insideV w:val="single" w:sz="12" w:space="0" w:color="E0E3E3"/>
        </w:tblBorders>
      </w:tblPr>
      <w:tblGrid>
        <w:gridCol w:w="9994"/>
      </w:tblGrid>
      <w:tr>
        <w:trPr>
          <w:tblHeader w:val="true"/>
        </w:trPr>
        <w:tc>
          <w:tcPr>
            <w:tcW w:type="dxa" w:w="9994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000000"/>
                <w:sz w:val="17"/>
              </w:rPr>
              <w:t>DA RICORDARE</w:t>
            </w:r>
          </w:p>
          <w:p>
            <w:pPr>
              <w:spacing w:after="0"/>
            </w:pPr>
            <w:r>
              <w:rPr>
                <w:rFonts w:ascii="Nunito" w:hAnsi="Nunito" w:cs="Nunito" w:eastAsia="Nunito"/>
                <w:b w:val="0"/>
                <w:color w:val="444748"/>
                <w:sz w:val="21"/>
              </w:rPr>
              <w:t>Il cambio ruolo libero non è più disponibile per tutti. Solo un utente FunniFin autenticato vede il menu "Visualizza come" e può impersonare le altre viste per controllo operativo.</w:t>
            </w:r>
          </w:p>
        </w:tc>
      </w:tr>
    </w:tbl>
    <w:p/>
    <w:p>
      <w:pPr>
        <w:pStyle w:val="Heading1"/>
      </w:pPr>
      <w:r>
        <w:rPr>
          <w:rFonts w:ascii="Nunito" w:hAnsi="Nunito" w:cs="Nunito" w:eastAsia="Nunito"/>
          <w:i w:val="0"/>
          <w:color w:val="444748"/>
        </w:rPr>
        <w:t>2. Accesso e sessione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2.1 Accesso Cliente</w:t>
      </w:r>
    </w:p>
    <w:p>
      <w:r>
        <w:rPr>
          <w:rFonts w:ascii="Nunito" w:hAnsi="Nunito" w:eastAsia="Nunito" w:cs="Nunito"/>
          <w:color w:val="444748"/>
        </w:rPr>
        <w:t>Il Cliente può usare la vista pubblica senza registrarsi. L’account non è richiesto: i dati personali vengono chiesti solo nello step finale di invio richiesta, quando servono per il recap e il contatto commerciale.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2.2 Accesso area riservata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Clicca l’icona di accesso nella barra sistema o apri un link riservato come #funnifin, #brand o #esperto-candidature.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Inserisci l’indirizzo email abilitato.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Inserisci il codice a 6 cifre ricevuto da FunniFin.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Se non hai il codice, usa il comando di invio codice: la richiesta viene gestita da FunniFin e può essere approvata o messa in coda.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Dopo l’accesso appare un messaggio di benvenuto e la sessione viene mantenuta localmente fino al logout o alla scadenza.</w:t>
      </w:r>
    </w:p>
    <w:p>
      <w:pPr>
        <w:jc w:val="center"/>
      </w:pPr>
      <w:r>
        <w:rPr>
          <w:rFonts w:ascii="Nunito" w:hAnsi="Nunito" w:eastAsia="Nunito" w:cs="Nunito"/>
          <w:color w:val="444748"/>
        </w:rPr>
      </w:r>
    </w:p>
    <w:p>
      <w:pPr>
        <w:spacing w:before="80" w:after="40"/>
        <w:jc w:val="center"/>
      </w:pPr>
      <w:r>
        <w:rPr>
          <w:rFonts w:ascii="Nunito" w:hAnsi="Nunito" w:eastAsia="Nunito" w:cs="Nunito"/>
          <w:color w:val="444748"/>
        </w:rPr>
        <w:drawing>
          <wp:inline xmlns:a="http://schemas.openxmlformats.org/drawingml/2006/main" xmlns:pic="http://schemas.openxmlformats.org/drawingml/2006/picture">
            <wp:extent cx="5897880" cy="4095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ccesso-riservato-fu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unito" w:hAnsi="Nunito" w:eastAsia="Nunito" w:cs="Nunito"/>
          <w:b w:val="0"/>
          <w:i/>
          <w:color w:val="000000"/>
          <w:sz w:val="16"/>
        </w:rPr>
        <w:t>Figura 1 - Accesso all’area riservata con email e codice.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2.3 Uscita</w:t>
      </w:r>
    </w:p>
    <w:p>
      <w:r>
        <w:rPr>
          <w:rFonts w:ascii="Nunito" w:hAnsi="Nunito" w:eastAsia="Nunito" w:cs="Nunito"/>
          <w:color w:val="444748"/>
        </w:rPr>
        <w:t>Gli utenti autenticati vedono il comando Esci nella barra sistema. Il logout rimuove la sessione e riporta l’app alla vista Cliente pubblica.</w:t>
      </w:r>
    </w:p>
    <w:p>
      <w:pPr>
        <w:pStyle w:val="Heading1"/>
      </w:pPr>
      <w:r>
        <w:rPr>
          <w:rFonts w:ascii="Nunito" w:hAnsi="Nunito" w:cs="Nunito" w:eastAsia="Nunito"/>
          <w:i w:val="0"/>
          <w:color w:val="444748"/>
        </w:rPr>
        <w:t>3. Barra superiore, stato progetto e comandi comuni</w:t>
      </w:r>
    </w:p>
    <w:p>
      <w:r>
        <w:rPr>
          <w:rFonts w:ascii="Nunito" w:hAnsi="Nunito" w:eastAsia="Nunito" w:cs="Nunito"/>
          <w:color w:val="444748"/>
        </w:rPr>
        <w:t>La parte alta dell’app è divisa in due livelli: intestazione applicativa e barra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12" w:space="0" w:color="E0E3E3"/>
          <w:insideV w:val="single" w:sz="12" w:space="0" w:color="E0E3E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/>
                <w:color w:val="000000"/>
                <w:sz w:val="17"/>
              </w:rPr>
            </w:r>
            <w:r>
              <w:rPr>
                <w:rFonts w:ascii="Nunito" w:hAnsi="Nunito" w:eastAsia="Nunito" w:cs="Nunito"/>
                <w:b/>
                <w:color w:val="000000"/>
                <w:sz w:val="17"/>
              </w:rPr>
              <w:t>Elemento</w:t>
            </w:r>
          </w:p>
        </w:tc>
        <w:tc>
          <w:tcPr>
            <w:tcW w:type="dxa" w:w="7776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/>
                <w:color w:val="000000"/>
                <w:sz w:val="17"/>
              </w:rPr>
            </w:r>
            <w:r>
              <w:rPr>
                <w:rFonts w:ascii="Nunito" w:hAnsi="Nunito" w:eastAsia="Nunito" w:cs="Nunito"/>
                <w:b/>
                <w:color w:val="000000"/>
                <w:sz w:val="17"/>
              </w:rPr>
              <w:t>Funzione</w:t>
            </w:r>
          </w:p>
        </w:tc>
      </w:tr>
      <w:tr>
        <w:tc>
          <w:tcPr>
            <w:tcW w:type="dxa" w:w="2232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Logo e titolo</w:t>
            </w:r>
          </w:p>
        </w:tc>
        <w:tc>
          <w:tcPr>
            <w:tcW w:type="dxa" w:w="7776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Identificano FunniFin Workshop Planner e il ruolo visualizzato.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Badge ruolo</w:t>
            </w:r>
          </w:p>
        </w:tc>
        <w:tc>
          <w:tcPr>
            <w:tcW w:type="dxa" w:w="7776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Mostra Cliente, FunniFin, Esperto o Brand.</w:t>
            </w:r>
          </w:p>
        </w:tc>
      </w:tr>
      <w:tr>
        <w:tc>
          <w:tcPr>
            <w:tcW w:type="dxa" w:w="2232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Contesto</w:t>
            </w:r>
          </w:p>
        </w:tc>
        <w:tc>
          <w:tcPr>
            <w:tcW w:type="dxa" w:w="7776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cs="Nunito" w:eastAsia="Nunito"/>
                <w:b w:val="0"/>
                <w:color w:val="444748"/>
                <w:sz w:val="21"/>
              </w:rPr>
              <w:t>Indica il progetto corrente o la sezione in uso, ad esempio "FunniFin · coda richieste".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Chip stato</w:t>
            </w:r>
          </w:p>
        </w:tc>
        <w:tc>
          <w:tcPr>
            <w:tcW w:type="dxa" w:w="7776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Mostra lo stato progetto; il pulsante info spiega il significato dello stato.</w:t>
            </w:r>
          </w:p>
        </w:tc>
      </w:tr>
      <w:tr>
        <w:tc>
          <w:tcPr>
            <w:tcW w:type="dxa" w:w="2232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Visualizza come</w:t>
            </w:r>
          </w:p>
        </w:tc>
        <w:tc>
          <w:tcPr>
            <w:tcW w:type="dxa" w:w="7776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Solo per FunniFin autenticato: permette di passare a Cliente, Esperto o Brand senza cambiare utente reale.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Impostazioni</w:t>
            </w:r>
          </w:p>
        </w:tc>
        <w:tc>
          <w:tcPr>
            <w:tcW w:type="dxa" w:w="7776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Apre la sezione coerente con il ruolo. Per FunniFin porta al Google backend.</w:t>
            </w:r>
          </w:p>
        </w:tc>
      </w:tr>
      <w:tr>
        <w:tc>
          <w:tcPr>
            <w:tcW w:type="dxa" w:w="2232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nil" w:sz="0" w:space="0" w:color="auto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Ricarica sezione</w:t>
            </w:r>
          </w:p>
        </w:tc>
        <w:tc>
          <w:tcPr>
            <w:tcW w:type="dxa" w:w="7776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nil" w:sz="0" w:space="0" w:color="auto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Rilegge i dati della sezione corrente, quando disponibili da Google/Apps Script.</w:t>
            </w:r>
          </w:p>
        </w:tc>
      </w:tr>
    </w:tbl>
    <w:p/>
    <w:p>
      <w:pPr>
        <w:pStyle w:val="Heading1"/>
      </w:pPr>
      <w:r>
        <w:rPr>
          <w:rFonts w:ascii="Nunito" w:hAnsi="Nunito" w:cs="Nunito" w:eastAsia="Nunito"/>
          <w:i w:val="0"/>
          <w:color w:val="444748"/>
        </w:rPr>
        <w:t>4. Ruolo Cliente: costruire e inviare un percorso</w:t>
      </w:r>
    </w:p>
    <w:p>
      <w:r>
        <w:rPr>
          <w:rFonts w:ascii="Nunito" w:hAnsi="Nunito" w:eastAsia="Nunito" w:cs="Nunito"/>
          <w:color w:val="444748"/>
        </w:rPr>
        <w:t>Il percorso Cliente è organizzato in 7 step: Interessi, Consigliati, Workshop, Personalizza, Date, Materiali e Invio. La barra inferiore mantiene visibili totale, numero di workshop selezionati e azione primaria dello step corrente.</w:t>
      </w:r>
    </w:p>
    <w:p>
      <w:pPr>
        <w:jc w:val="center"/>
      </w:pPr>
      <w:r>
        <w:rPr>
          <w:rFonts w:ascii="Nunito" w:hAnsi="Nunito" w:eastAsia="Nunito" w:cs="Nunito"/>
          <w:color w:val="444748"/>
        </w:rPr>
      </w:r>
    </w:p>
    <w:p>
      <w:pPr>
        <w:spacing w:before="80" w:after="40"/>
        <w:jc w:val="center"/>
      </w:pPr>
      <w:r>
        <w:rPr>
          <w:rFonts w:ascii="Nunito" w:hAnsi="Nunito" w:eastAsia="Nunito" w:cs="Nunito"/>
          <w:color w:val="444748"/>
        </w:rPr>
        <w:drawing>
          <wp:inline xmlns:a="http://schemas.openxmlformats.org/drawingml/2006/main" xmlns:pic="http://schemas.openxmlformats.org/drawingml/2006/picture">
            <wp:extent cx="2922559" cy="4434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liente-percorso-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2559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unito" w:hAnsi="Nunito" w:eastAsia="Nunito" w:cs="Nunito"/>
          <w:b w:val="0"/>
          <w:i/>
          <w:color w:val="000000"/>
          <w:sz w:val="16"/>
        </w:rPr>
        <w:t>Figura 2 - Vista Cliente per la composizione del percorso workshop.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4.1 Step Interessi</w:t>
      </w:r>
    </w:p>
    <w:p>
      <w:r>
        <w:rPr>
          <w:rFonts w:ascii="Nunito" w:hAnsi="Nunito" w:eastAsia="Nunito" w:cs="Nunito"/>
          <w:color w:val="444748"/>
        </w:rPr>
        <w:t>Il Cliente sceglie gli interessi tematici e i temi che guideranno le raccomandazioni e il catalogo. È possibile rimuovere singoli interessi o temi, vedere tutto il catalogo e ricalcolare i risultati in tempo reale.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Seleziona 2-3 interessi per ottenere consigli più pertinenti.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All’apertura della vista pubblica non ci sono interessi o temi preselezionati: il Cliente deve scegliere almeno un ambito/tema oppure usare "Tutto il catalogo".</w:t>
      </w:r>
    </w:p>
    <CT_P>
      <w:pPr>
        <w:pStyle w:val="ListBullet"/>
      </w:pPr>
      <w:r>
        <w:t>All’apertura della vista pubblica non ci sono interessi o temi preselezionati: il Cliente deve scegliere almeno un ambito/tema oppure usare “Tutto il catalogo”.</w:t>
      </w:r>
    </CT_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Usa "Tutto il catalogo" quando vuoi ignorare i filtri tematici.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I badge delle card aiutano a distinguere priorità, popolarità o rilevanza commerciale.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4.2 Step Consigliati</w:t>
      </w:r>
    </w:p>
    <w:p>
      <w:r>
        <w:rPr>
          <w:rFonts w:ascii="Nunito" w:hAnsi="Nunito" w:eastAsia="Nunito" w:cs="Nunito"/>
          <w:color w:val="444748"/>
        </w:rPr>
        <w:t>Il sistema propone workshop in base agli interessi e ai temi scelti. Il Cliente può aggiungere tutti i consigliati, aggiungere un singolo workshop o saltare direttamente al catalogo manuale.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4.3 Step Workshop</w:t>
      </w:r>
    </w:p>
    <w:p>
      <w:r>
        <w:rPr>
          <w:rFonts w:ascii="Nunito" w:hAnsi="Nunito" w:eastAsia="Nunito" w:cs="Nunito"/>
          <w:color w:val="444748"/>
        </w:rPr>
        <w:t>Il catalogo mostra i workshop vendibili con ricerca e filtri per ambito, tema e formato. Ogni card permette di aggiungere o rimuovere il workshop dal percorso; il preventivo viene aggiornato mentre cambia la selezione.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La ricerca lavora su titolo, descrizione e contesto del workshop.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I filtri possono essere azzerati con i comandi della toolbar.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La barra inferiore evidenzia anche eventuali soglie di sconto da raggiungere.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4.4 Step Personalizza</w:t>
      </w:r>
    </w:p>
    <w:p>
      <w:r>
        <w:rPr>
          <w:rFonts w:ascii="Nunito" w:hAnsi="Nunito" w:eastAsia="Nunito" w:cs="Nunito"/>
          <w:color w:val="444748"/>
        </w:rPr>
        <w:t>Per ogni workshop selezionato si può richiedere co-design su misura. La personalizzazione aggiunge un extra al preventivo e permette di salvare note su contesto aziendale, obiettivi, platea, vincoli o temi da evitare.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4.5 Step Date</w:t>
      </w:r>
    </w:p>
    <w:p>
      <w:r>
        <w:rPr>
          <w:rFonts w:ascii="Nunito" w:hAnsi="Nunito" w:eastAsia="Nunito" w:cs="Nunito"/>
          <w:color w:val="444748"/>
        </w:rPr>
        <w:t>Per inviare la richiesta è necessario scegliere una data e un orario per ogni workshop selezionato. Le date restano proposte: FunniFin le verifica in seguito con Calendar e può approvarle, rifiutarle o chiedere modifiche.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Il comando "Adesso" seleziona la data corrente del browser e propone il primo orario disponibile; i comandi mese precedente/successivo permettono di spostarsi oltre il mese visualizzato.</w:t>
      </w:r>
    </w:p>
    <CT_P>
      <w:pPr/>
      <w:r>
        <w:t>Il comando “Adesso” seleziona la data corrente del browser e propone il primo orario disponibile; i comandi mese precedente/successivo permettono di spostarsi oltre il mese visualizzato.</w:t>
      </w:r>
    </CT_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12" w:space="0" w:color="E0E3E3"/>
          <w:insideV w:val="single" w:sz="12" w:space="0" w:color="E0E3E3"/>
        </w:tblBorders>
      </w:tblPr>
      <w:tblGrid>
        <w:gridCol w:w="9994"/>
      </w:tblGrid>
      <w:tr>
        <w:trPr>
          <w:tblHeader w:val="true"/>
        </w:trPr>
        <w:tc>
          <w:tcPr>
            <w:tcW w:type="dxa" w:w="9994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000000"/>
                <w:sz w:val="17"/>
              </w:rPr>
              <w:t>CAMBIO RISPETTO ALLA VERSIONE PRECEDENTE</w:t>
            </w:r>
          </w:p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000000"/>
                <w:sz w:val="17"/>
              </w:rPr>
              <w:t>La richiesta può essere inviata solo quando ogni workshop selezionato ha una data e un orario proposti. FunniFin confermerà o richiederà modifiche dopo la verifica operativa.</w:t>
            </w:r>
          </w:p>
        </w:tc>
      </w:tr>
    </w:tbl>
    <w:p/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4.6 Step Materiali</w:t>
      </w:r>
    </w:p>
    <w:p>
      <w:r>
        <w:rPr>
          <w:rFonts w:ascii="Nunito" w:hAnsi="Nunito" w:eastAsia="Nunito" w:cs="Nunito"/>
          <w:color w:val="444748"/>
        </w:rPr>
        <w:t>Il Cliente può caricare logo, linee guida brand, note sulla platea o altri materiali utili. Al primo upload l’app crea una cartella Drive draft chiamata con il nome cliente e mostra il link diretto alla cartella.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I file caricati vengono elencati con nome e dimensione.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Se la richiesta non viene inviata e il Cliente abbandona il flusso, la cartella draft può essere spostata nel cestino.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Il caricamento materiali è consigliato ma non sostituisce la revisione FunniFin/Brand.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4.7 Step Invio</w:t>
      </w:r>
    </w:p>
    <w:p>
      <w:r>
        <w:rPr>
          <w:rFonts w:ascii="Nunito" w:hAnsi="Nunito" w:eastAsia="Nunito" w:cs="Nunito"/>
          <w:color w:val="444748"/>
        </w:rPr>
        <w:t>Lo step finale verifica la prontezza del percorso, raccoglie nome, cognome, email aziendale, azienda e telefono, poi salva la richiesta nel registro reale. Se il backend email è disponibile, invia anche il recap al Cliente e a FunniFin.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Controlla che tutti i workshop abbiano date proposte.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Compila i dati di contatto.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Premi "Invia richiesta".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Attendi il messaggio di conferma con ID richiesta e indirizzo recap.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FunniFin trova la richiesta nella coda operativa e avvia la verifica.</w:t>
      </w:r>
    </w:p>
    <w:p>
      <w:pPr>
        <w:pStyle w:val="Heading1"/>
      </w:pPr>
      <w:r>
        <w:rPr>
          <w:rFonts w:ascii="Nunito" w:hAnsi="Nunito" w:cs="Nunito" w:eastAsia="Nunito"/>
          <w:i w:val="0"/>
          <w:color w:val="444748"/>
        </w:rPr>
        <w:t>5. Ruolo FunniFin: console operativa</w:t>
      </w:r>
    </w:p>
    <w:p>
      <w:r>
        <w:rPr>
          <w:rFonts w:ascii="Nunito" w:hAnsi="Nunito" w:eastAsia="Nunito" w:cs="Nunito"/>
          <w:color w:val="444748"/>
        </w:rPr>
        <w:t>La console FunniFin è l’area più ampia dell’app. È accessibile solo con sessione FunniFin valida e combina gestione progetto, catalogo, prezzi, esperti, backend Google e utenti.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12" w:space="0" w:color="E0E3E3"/>
          <w:insideV w:val="single" w:sz="12" w:space="0" w:color="E0E3E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/>
                <w:color w:val="000000"/>
                <w:sz w:val="17"/>
              </w:rPr>
            </w:r>
            <w:r>
              <w:rPr>
                <w:rFonts w:ascii="Nunito" w:hAnsi="Nunito" w:eastAsia="Nunito" w:cs="Nunito"/>
                <w:b/>
                <w:color w:val="000000"/>
                <w:sz w:val="17"/>
              </w:rPr>
              <w:t>Sezione</w:t>
            </w:r>
          </w:p>
        </w:tc>
        <w:tc>
          <w:tcPr>
            <w:tcW w:type="dxa" w:w="828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/>
                <w:color w:val="000000"/>
                <w:sz w:val="17"/>
              </w:rPr>
            </w:r>
            <w:r>
              <w:rPr>
                <w:rFonts w:ascii="Nunito" w:hAnsi="Nunito" w:eastAsia="Nunito" w:cs="Nunito"/>
                <w:b/>
                <w:color w:val="000000"/>
                <w:sz w:val="17"/>
              </w:rPr>
              <w:t>Cosa permette di fare</w:t>
            </w:r>
          </w:p>
        </w:tc>
      </w:tr>
      <w:tr>
        <w:tc>
          <w:tcPr>
            <w:tcW w:type="dxa" w:w="180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Operativo</w:t>
            </w:r>
          </w:p>
        </w:tc>
        <w:tc>
          <w:tcPr>
            <w:tcW w:type="dxa" w:w="828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Gestire la coda richieste, selezionare un progetto, verificare workshop, date, esperti, materiali e conferma evento.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Catalogo</w:t>
            </w:r>
          </w:p>
        </w:tc>
        <w:tc>
          <w:tcPr>
            <w:tcW w:type="dxa" w:w="828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Rileggere catalogo da Google Sheet, controllare ambiti/temi/workshop, consultare reference Canva e collegare slide operative da Drive.</w:t>
            </w:r>
          </w:p>
        </w:tc>
      </w:tr>
      <w:tr>
        <w:tc>
          <w:tcPr>
            <w:tcW w:type="dxa" w:w="180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Prezzi</w:t>
            </w:r>
          </w:p>
        </w:tc>
        <w:tc>
          <w:tcPr>
            <w:tcW w:type="dxa" w:w="828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cs="Nunito" w:eastAsia="Nunito"/>
                <w:b w:val="0"/>
                <w:color w:val="444748"/>
                <w:sz w:val="21"/>
              </w:rPr>
              <w:t>Gestire regole prezzo, sconti quantità, bundle, preventivo dinamico e scenari "su preventivo".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Esperti</w:t>
            </w:r>
          </w:p>
        </w:tc>
        <w:tc>
          <w:tcPr>
            <w:tcW w:type="dxa" w:w="828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Vedere e modificare profili esperto, competenze, disponibilità e assegnazioni ai workshop.</w:t>
            </w:r>
          </w:p>
        </w:tc>
      </w:tr>
      <w:tr>
        <w:tc>
          <w:tcPr>
            <w:tcW w:type="dxa" w:w="180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Google</w:t>
            </w:r>
          </w:p>
        </w:tc>
        <w:tc>
          <w:tcPr>
            <w:tcW w:type="dxa" w:w="828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Controllare Sheets, Calendar, Drive, quota MailApp e impostazioni operative salvate nel backend.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nil" w:sz="0" w:space="0" w:color="auto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Utenti</w:t>
            </w:r>
          </w:p>
        </w:tc>
        <w:tc>
          <w:tcPr>
            <w:tcW w:type="dxa" w:w="828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nil" w:sz="0" w:space="0" w:color="auto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Creare inviti, gestire account autorizzati, ruoli, codici e richieste di accesso.</w:t>
            </w:r>
          </w:p>
        </w:tc>
      </w:tr>
    </w:tbl>
    <w:p/>
    <w:p>
      <w:pPr>
        <w:jc w:val="center"/>
      </w:pPr>
      <w:r>
        <w:rPr>
          <w:rFonts w:ascii="Nunito" w:hAnsi="Nunito" w:eastAsia="Nunito" w:cs="Nunito"/>
          <w:color w:val="444748"/>
        </w:rPr>
      </w:r>
    </w:p>
    <w:p>
      <w:pPr>
        <w:spacing w:before="80" w:after="40"/>
        <w:jc w:val="center"/>
      </w:pPr>
      <w:r>
        <w:rPr>
          <w:rFonts w:ascii="Nunito" w:hAnsi="Nunito" w:eastAsia="Nunito" w:cs="Nunito"/>
          <w:color w:val="444748"/>
        </w:rPr>
        <w:drawing>
          <wp:inline xmlns:a="http://schemas.openxmlformats.org/drawingml/2006/main" xmlns:pic="http://schemas.openxmlformats.org/drawingml/2006/picture">
            <wp:extent cx="5321808" cy="4434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unnifin-operativo-fu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1808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unito" w:hAnsi="Nunito" w:eastAsia="Nunito" w:cs="Nunito"/>
          <w:b w:val="0"/>
          <w:i/>
          <w:color w:val="000000"/>
          <w:sz w:val="16"/>
        </w:rPr>
        <w:t>Figura 3 - Console FunniFin con coda richieste e moduli operativi.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5.1 Operativo: coda e progetto attivo</w:t>
      </w:r>
    </w:p>
    <w:p>
      <w:r>
        <w:rPr>
          <w:rFonts w:ascii="Nunito" w:hAnsi="Nunito" w:eastAsia="Nunito" w:cs="Nunito"/>
          <w:color w:val="444748"/>
        </w:rPr>
        <w:t>La sezione Operativo mostra una coda progetti con ricerca per azienda o referente e filtri: Tutti, Oggi, Da fissare, Produzione, In calendario e Chiusi. Ogni card indica data, stato, numero workshop e valore economico.</w:t>
      </w:r>
    </w:p>
    <w:p>
      <w:r>
        <w:rPr>
          <w:rFonts w:ascii="Nunito" w:hAnsi="Nunito" w:eastAsia="Nunito" w:cs="Nunito"/>
          <w:color w:val="444748"/>
        </w:rPr>
        <w:t>Il progetto attivo mostra intestazione, contatto, totale preventivo e un flusso a pannelli: Workshop, Date, Esperti, Cartella, Conferma.</w:t>
      </w:r>
    </w:p>
    <w:p>
      <w:pPr>
        <w:pStyle w:val="Heading3"/>
      </w:pPr>
      <w:r>
        <w:rPr>
          <w:rFonts w:ascii="Nunito" w:hAnsi="Nunito" w:cs="Nunito" w:eastAsia="Nunito"/>
          <w:i w:val="0"/>
          <w:color w:val="444748"/>
        </w:rPr>
        <w:t>Workshop</w:t>
      </w:r>
    </w:p>
    <w:p>
      <w:r>
        <w:rPr>
          <w:rFonts w:ascii="Nunito" w:hAnsi="Nunito" w:eastAsia="Nunito" w:cs="Nunito"/>
          <w:color w:val="444748"/>
        </w:rPr>
        <w:t>Serve a verificare la richiesta cliente, controllare unità operative, formati, durate e presenza date. Da qui si può aprire una modale di modifica richiesta.</w:t>
      </w:r>
    </w:p>
    <w:p>
      <w:pPr>
        <w:pStyle w:val="Heading3"/>
      </w:pPr>
      <w:r>
        <w:rPr>
          <w:rFonts w:ascii="Nunito" w:hAnsi="Nunito" w:cs="Nunito" w:eastAsia="Nunito"/>
          <w:i w:val="0"/>
          <w:color w:val="444748"/>
        </w:rPr>
        <w:t>Date</w:t>
      </w:r>
    </w:p>
    <w:p>
      <w:r>
        <w:rPr>
          <w:rFonts w:ascii="Nunito" w:hAnsi="Nunito" w:cs="Nunito" w:eastAsia="Nunito"/>
          <w:b w:val="0"/>
          <w:color w:val="444748"/>
          <w:sz w:val="21"/>
        </w:rPr>
        <w:t>Permette di usare "Verifica FreeBusy" per leggere i calendari reali quando il backend è configurato. Ogni data può essere approvata, rifiutata o marcata come modifica richiesta.</w:t>
      </w:r>
    </w:p>
    <w:p>
      <w:pPr>
        <w:pStyle w:val="Heading3"/>
      </w:pPr>
      <w:r>
        <w:rPr>
          <w:rFonts w:ascii="Nunito" w:hAnsi="Nunito" w:cs="Nunito" w:eastAsia="Nunito"/>
          <w:i w:val="0"/>
          <w:color w:val="444748"/>
        </w:rPr>
        <w:t>Esperti</w:t>
      </w:r>
    </w:p>
    <w:p>
      <w:r>
        <w:rPr>
          <w:rFonts w:ascii="Nunito" w:hAnsi="Nunito" w:eastAsia="Nunito" w:cs="Nunito"/>
          <w:color w:val="444748"/>
        </w:rPr>
        <w:t>Mostra esperti compatibili con i topic dei workshop e consente assegnazione o riassegnazione. Quando tutti i workshop hanno un esperto, il progetto può procedere ai materiali.</w:t>
      </w:r>
    </w:p>
    <w:p>
      <w:pPr>
        <w:pStyle w:val="Heading3"/>
      </w:pPr>
      <w:r>
        <w:rPr>
          <w:rFonts w:ascii="Nunito" w:hAnsi="Nunito" w:cs="Nunito" w:eastAsia="Nunito"/>
          <w:i w:val="0"/>
          <w:color w:val="444748"/>
        </w:rPr>
        <w:t>Cartella</w:t>
      </w:r>
    </w:p>
    <w:p>
      <w:r>
        <w:rPr>
          <w:rFonts w:ascii="Nunito" w:hAnsi="Nunito" w:eastAsia="Nunito" w:cs="Nunito"/>
          <w:color w:val="444748"/>
        </w:rPr>
        <w:t>Raccoglie materiali cliente, cartelle e file Drive. Se il Cliente ha caricato asset, la vista mostra i file; altrimenti legge la cartella Drive configurata e i suoi elementi.</w:t>
      </w:r>
    </w:p>
    <w:p>
      <w:pPr>
        <w:pStyle w:val="Heading3"/>
      </w:pPr>
      <w:r>
        <w:rPr>
          <w:rFonts w:ascii="Nunito" w:hAnsi="Nunito" w:cs="Nunito" w:eastAsia="Nunito"/>
          <w:i w:val="0"/>
          <w:color w:val="444748"/>
        </w:rPr>
        <w:t>Conferma</w:t>
      </w:r>
    </w:p>
    <w:p>
      <w:r>
        <w:rPr>
          <w:rFonts w:ascii="Nunito" w:hAnsi="Nunito" w:eastAsia="Nunito" w:cs="Nunito"/>
          <w:color w:val="444748"/>
        </w:rPr>
        <w:t>Raccoglie ultimo controllo su date, esperti, deck abilitato da Brand ed evento. Da qui FunniFin può creare evento Google Calendar provvisorio o confermato, con Meet quando previsto dal formato.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5.2 Catalogo</w:t>
      </w:r>
    </w:p>
    <w:p>
      <w:r>
        <w:rPr>
          <w:rFonts w:ascii="Nunito" w:hAnsi="Nunito" w:eastAsia="Nunito" w:cs="Nunito"/>
          <w:color w:val="444748"/>
        </w:rPr>
        <w:t>La sezione Catalogo ha due viste: Catalogo Sheet e Slide Drive. Lo Sheet è la fonte operativa per ambiti, categorie/tag e workshop vendibili; Canva resta una reference visuale. La vista Drive collega le presentazioni operative ai workshop.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5.3 Prezzi</w:t>
      </w:r>
    </w:p>
    <w:p>
      <w:r>
        <w:rPr>
          <w:rFonts w:ascii="Nunito" w:hAnsi="Nunito" w:cs="Nunito" w:eastAsia="Nunito"/>
          <w:b w:val="0"/>
          <w:color w:val="444748"/>
          <w:sz w:val="21"/>
        </w:rPr>
        <w:t>Le regole prezzo governano il preventivo Cliente. Ogni regola ha nome, range minimo/massimo di workshop, percentuale di sconto o modalità "su preventivo". Il totale mostrato al Cliente si aggiorna in base alla regola attiva.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5.4 Esperti</w:t>
      </w:r>
    </w:p>
    <w:p>
      <w:r>
        <w:rPr>
          <w:rFonts w:ascii="Nunito" w:hAnsi="Nunito" w:eastAsia="Nunito" w:cs="Nunito"/>
          <w:color w:val="444748"/>
        </w:rPr>
        <w:t>Il pool esperti consente di creare, aggiornare o cancellare profili. Ogni profilo contiene nome, email, foto, bio, interessi, temi e disponibilità. Le card mostrano i workshop compatibili e permettono assegnazioni rapide.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5.5 Google backend</w:t>
      </w:r>
    </w:p>
    <w:p>
      <w:r>
        <w:rPr>
          <w:rFonts w:ascii="Nunito" w:hAnsi="Nunito" w:eastAsia="Nunito" w:cs="Nunito"/>
          <w:color w:val="444748"/>
        </w:rPr>
        <w:t>La sezione Google controlla lo stato di collegamento del backend: Google Sheets, Calendar, Drive, MailApp e accessi. Mostra conteggi reali letti da Sheet, errori di sessione/backend e settings operative modificabili.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Google Sheets: richieste, catalogo, prezzi, esperti, utenti e accessi.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Google Calendar: FreeBusy e creazione evento con Meet.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Google Drive: cartelle materiali e presentazioni.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MailApp: invio recap e notifiche operative, con quota giornaliera.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5.6 Utenti e inviti</w:t>
      </w:r>
    </w:p>
    <w:p>
      <w:r>
        <w:rPr>
          <w:rFonts w:ascii="Nunito" w:hAnsi="Nunito" w:eastAsia="Nunito" w:cs="Nunito"/>
          <w:color w:val="444748"/>
        </w:rPr>
        <w:t>Questa sezione gestisce account autorizzati e richieste di accesso. FunniFin può creare un utente, scegliere ruolo FunniFin/Esperto/Brand, collegare un Expert ID, disabilitare account e inviare o rigenerare codice di accesso via email.</w:t>
      </w:r>
    </w:p>
    <w:p>
      <w:pPr>
        <w:pStyle w:val="Heading1"/>
      </w:pPr>
      <w:r>
        <w:rPr>
          <w:rFonts w:ascii="Nunito" w:hAnsi="Nunito" w:cs="Nunito" w:eastAsia="Nunito"/>
          <w:i w:val="0"/>
          <w:color w:val="444748"/>
        </w:rPr>
        <w:t>6. Ruolo Esperto: candidature, incarichi e deck</w:t>
      </w:r>
    </w:p>
    <w:p>
      <w:r>
        <w:rPr>
          <w:rFonts w:ascii="Nunito" w:hAnsi="Nunito" w:eastAsia="Nunito" w:cs="Nunito"/>
          <w:color w:val="444748"/>
        </w:rPr>
        <w:t>L’area Esperto è accessibile da sessione Esperto o tramite FunniFin in visualizzazione. La dashboard mostra opportunità disponibili, incarichi assegnati e deck da caricare.</w:t>
      </w:r>
    </w:p>
    <w:p>
      <w:pPr>
        <w:jc w:val="center"/>
      </w:pPr>
      <w:r>
        <w:rPr>
          <w:rFonts w:ascii="Nunito" w:hAnsi="Nunito" w:eastAsia="Nunito" w:cs="Nunito"/>
          <w:color w:val="444748"/>
        </w:rPr>
      </w:r>
    </w:p>
    <w:p>
      <w:pPr>
        <w:spacing w:before="80" w:after="40"/>
        <w:jc w:val="center"/>
      </w:pPr>
      <w:r>
        <w:rPr>
          <w:rFonts w:ascii="Nunito" w:hAnsi="Nunito" w:eastAsia="Nunito" w:cs="Nunito"/>
          <w:color w:val="444748"/>
        </w:rPr>
        <w:drawing>
          <wp:inline xmlns:a="http://schemas.openxmlformats.org/drawingml/2006/main" xmlns:pic="http://schemas.openxmlformats.org/drawingml/2006/picture">
            <wp:extent cx="5897880" cy="4095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sperto-candidature-fu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unito" w:hAnsi="Nunito" w:eastAsia="Nunito" w:cs="Nunito"/>
          <w:b w:val="0"/>
          <w:i/>
          <w:color w:val="000000"/>
          <w:sz w:val="16"/>
        </w:rPr>
        <w:t>Figura 4 - Area Esperto con opportunità, incarichi e upload deck.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6.1 Opportunità</w:t>
      </w:r>
    </w:p>
    <w:p>
      <w:r>
        <w:rPr>
          <w:rFonts w:ascii="Nunito" w:hAnsi="Nunito" w:eastAsia="Nunito" w:cs="Nunito"/>
          <w:color w:val="444748"/>
        </w:rPr>
        <w:t>La vista Opportunità legge i workshop aperti agli esperti dal registro richieste. L’esperto può aprire una candidatura, confermare interesse e inviare la disponibilità a FunniFin. La candidatura aggiorna lo stato e resta visibile nella console.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6.2 Assegnati</w:t>
      </w:r>
    </w:p>
    <w:p>
      <w:r>
        <w:rPr>
          <w:rFonts w:ascii="Nunito" w:hAnsi="Nunito" w:eastAsia="Nunito" w:cs="Nunito"/>
          <w:color w:val="444748"/>
        </w:rPr>
        <w:t>La vista Assegnati mostra il workshop assegnato all’esperto, con dettagli operativi, data, cliente e passaggio successivo verso l’upload deck.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6.3 Upload deck</w:t>
      </w:r>
    </w:p>
    <w:p>
      <w:r>
        <w:rPr>
          <w:rFonts w:ascii="Nunito" w:hAnsi="Nunito" w:eastAsia="Nunito" w:cs="Nunito"/>
          <w:color w:val="444748"/>
        </w:rPr>
        <w:t>L’esperto può caricare una presentazione nuova in Drive oppure selezionare un file già presente nella cartella configurata. Dopo l’invio, il progetto passa verso la revisione Brand.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Carica file: salva il file nella cartella Drive del progetto o in una cartella deck creata dall’app.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Seleziona da Drive: legge presentazioni e file disponibili nella cartella Drive configurata.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Invia a revisione brand: aggiorna il registro e notifica il passaggio a Brand.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6.4 Storico</w:t>
      </w:r>
    </w:p>
    <w:p>
      <w:r>
        <w:rPr>
          <w:rFonts w:ascii="Nunito" w:hAnsi="Nunito" w:eastAsia="Nunito" w:cs="Nunito"/>
          <w:color w:val="444748"/>
        </w:rPr>
        <w:t>La vista Storico raccoglie incarichi passati o completati quando disponibili dal registro.</w:t>
      </w:r>
    </w:p>
    <w:p>
      <w:pPr>
        <w:pStyle w:val="Heading1"/>
      </w:pPr>
      <w:r>
        <w:rPr>
          <w:rFonts w:ascii="Nunito" w:hAnsi="Nunito" w:cs="Nunito" w:eastAsia="Nunito"/>
          <w:i w:val="0"/>
          <w:color w:val="444748"/>
        </w:rPr>
        <w:t>7. Ruolo Brand: revisione materiali</w:t>
      </w:r>
    </w:p>
    <w:p>
      <w:r>
        <w:rPr>
          <w:rFonts w:ascii="Nunito" w:hAnsi="Nunito" w:eastAsia="Nunito" w:cs="Nunito"/>
          <w:color w:val="444748"/>
        </w:rPr>
        <w:t>L’area Brand è pensata per chi controlla deck, materiali e coerenza visiva prima della conferma finale. La vista legge progetti reali in revisione dal registro e presentazioni reali dalla cartella Drive configurata.</w:t>
      </w:r>
    </w:p>
    <w:p>
      <w:pPr>
        <w:jc w:val="center"/>
      </w:pPr>
      <w:r>
        <w:rPr>
          <w:rFonts w:ascii="Nunito" w:hAnsi="Nunito" w:eastAsia="Nunito" w:cs="Nunito"/>
          <w:color w:val="444748"/>
        </w:rPr>
      </w:r>
    </w:p>
    <w:p>
      <w:pPr>
        <w:spacing w:before="80" w:after="40"/>
        <w:jc w:val="center"/>
      </w:pPr>
      <w:r>
        <w:rPr>
          <w:rFonts w:ascii="Nunito" w:hAnsi="Nunito" w:eastAsia="Nunito" w:cs="Nunito"/>
          <w:color w:val="444748"/>
        </w:rPr>
        <w:drawing>
          <wp:inline xmlns:a="http://schemas.openxmlformats.org/drawingml/2006/main" xmlns:pic="http://schemas.openxmlformats.org/drawingml/2006/picture">
            <wp:extent cx="3769614" cy="4434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rand-revisione-fu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9614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unito" w:hAnsi="Nunito" w:eastAsia="Nunito" w:cs="Nunito"/>
          <w:b w:val="0"/>
          <w:i/>
          <w:color w:val="000000"/>
          <w:sz w:val="16"/>
        </w:rPr>
        <w:t>Figura 5 - Area Brand per revisione materiali e versioni deck.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7.1 Progetti in revisione</w:t>
      </w:r>
    </w:p>
    <w:p>
      <w:r>
        <w:rPr>
          <w:rFonts w:ascii="Nunito" w:hAnsi="Nunito" w:eastAsia="Nunito" w:cs="Nunito"/>
          <w:color w:val="444748"/>
        </w:rPr>
        <w:t>La colonna progetti mostra le richieste negli stati In revisione brand, Approvazione finale, Evento provvisorio o Confermato. Selezionando un progetto, lo stato viene sincronizzato nella barra superiore.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7.2 Revisione materiali brand</w:t>
      </w:r>
    </w:p>
    <w:p>
      <w:r>
        <w:rPr>
          <w:rFonts w:ascii="Nunito" w:hAnsi="Nunito" w:eastAsia="Nunito" w:cs="Nunito"/>
          <w:color w:val="444748"/>
        </w:rPr>
        <w:t>I deck sono organizzati in code: Revisioni, Da correggere, Approvate e Storico. Per ogni deck l’app mostra anteprima Google Slides/Drive quando disponibile, metadati, versione, cliente, workshop, esperto e origine.</w:t>
      </w:r>
    </w:p>
    <w:p>
      <w:pPr>
        <w:pStyle w:val="Heading2"/>
      </w:pPr>
      <w:r>
        <w:rPr>
          <w:rFonts w:ascii="Nunito" w:hAnsi="Nunito" w:cs="Nunito" w:eastAsia="Nunito"/>
          <w:i w:val="0"/>
          <w:color w:val="444748"/>
        </w:rPr>
        <w:t>7.3 Azioni Brand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Approva brand: sposta il deck tra le approvate e porta il progetto verso Approvazione finale.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Richiedi modifiche: mantiene il progetto in revisione e segnala all’esperto la necessità di aggiornare il deck.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Abilita deck per Calendar: salva il deck finale che verrà scritto negli eventi Calendar creati dopo l’abilitazione.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Carica nuova versione: incrementa la versione e rimette il deck in coda Revisioni.</w:t>
      </w:r>
    </w:p>
    <w:p>
      <w:pPr>
        <w:pStyle w:val="Heading1"/>
      </w:pPr>
      <w:r>
        <w:rPr>
          <w:rFonts w:ascii="Nunito" w:hAnsi="Nunito" w:cs="Nunito" w:eastAsia="Nunito"/>
          <w:i w:val="0"/>
          <w:color w:val="444748"/>
        </w:rPr>
        <w:t>8. Flusso end-to-end e stati progetto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Cliente crea il percorso, sceglie workshop, personalizzazioni e date, carica eventuali materiali e invia la richiesta.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Il sistema salva la richiesta nel registro Google Sheet e prova a inviare il recap email.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FunniFin verifica coerenza del percorso, preventivo e fattibilità.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FunniFin verifica le date con FreeBusy e le approva o chiede modifiche.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FunniFin apre le candidature o assegna direttamente esperti compatibili.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L’esperto si candida o riceve l’assegnazione, poi prepara e carica il deck.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Brand revisiona il deck, approva o richiede modifiche e abilita il deck finale per Calendar.</w:t>
      </w:r>
    </w:p>
    <w:p>
      <w:pPr>
        <w:spacing w:after="40"/>
      </w:pPr>
      <w:r>
        <w:rPr>
          <w:rFonts w:ascii="Nunito" w:hAnsi="Nunito" w:cs="Nunito" w:eastAsia="Nunito"/>
          <w:b w:val="0"/>
          <w:color w:val="444748"/>
          <w:sz w:val="21"/>
        </w:rPr>
        <w:t>- FunniFin completa il controllo finale e crea l’evento Calendar provvisorio o confermato con Meet link.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12" w:space="0" w:color="E0E3E3"/>
          <w:insideV w:val="single" w:sz="12" w:space="0" w:color="E0E3E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/>
                <w:color w:val="000000"/>
                <w:sz w:val="17"/>
              </w:rPr>
            </w:r>
            <w:r>
              <w:rPr>
                <w:rFonts w:ascii="Nunito" w:hAnsi="Nunito" w:eastAsia="Nunito" w:cs="Nunito"/>
                <w:b/>
                <w:color w:val="000000"/>
                <w:sz w:val="17"/>
              </w:rPr>
              <w:t>Stato</w:t>
            </w:r>
          </w:p>
        </w:tc>
        <w:tc>
          <w:tcPr>
            <w:tcW w:type="dxa" w:w="720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/>
                <w:color w:val="000000"/>
                <w:sz w:val="17"/>
              </w:rPr>
            </w:r>
            <w:r>
              <w:rPr>
                <w:rFonts w:ascii="Nunito" w:hAnsi="Nunito" w:eastAsia="Nunito" w:cs="Nunito"/>
                <w:b/>
                <w:color w:val="000000"/>
                <w:sz w:val="17"/>
              </w:rPr>
              <w:t>Significato operativo</w:t>
            </w:r>
          </w:p>
        </w:tc>
      </w:tr>
      <w:tr>
        <w:tc>
          <w:tcPr>
            <w:tcW w:type="dxa" w:w="288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Richiesta in bozza</w:t>
            </w:r>
          </w:p>
        </w:tc>
        <w:tc>
          <w:tcPr>
            <w:tcW w:type="dxa" w:w="720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Il Cliente sta componendo percorso, dati e date.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Richiesta inviata</w:t>
            </w:r>
          </w:p>
        </w:tc>
        <w:tc>
          <w:tcPr>
            <w:tcW w:type="dxa" w:w="720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La richiesta è stata salvata e FunniFin deve verificarla.</w:t>
            </w:r>
          </w:p>
        </w:tc>
      </w:tr>
      <w:tr>
        <w:tc>
          <w:tcPr>
            <w:tcW w:type="dxa" w:w="288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In verifica FunniFin</w:t>
            </w:r>
          </w:p>
        </w:tc>
        <w:tc>
          <w:tcPr>
            <w:tcW w:type="dxa" w:w="720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Workshop, prezzo e fattibilità sono in controllo operativo.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Date approvate</w:t>
            </w:r>
          </w:p>
        </w:tc>
        <w:tc>
          <w:tcPr>
            <w:tcW w:type="dxa" w:w="720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Le date proposte sono state validate.</w:t>
            </w:r>
          </w:p>
        </w:tc>
      </w:tr>
      <w:tr>
        <w:tc>
          <w:tcPr>
            <w:tcW w:type="dxa" w:w="288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Aperto a esperti</w:t>
            </w:r>
          </w:p>
        </w:tc>
        <w:tc>
          <w:tcPr>
            <w:tcW w:type="dxa" w:w="720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La richiesta è visibile agli esperti compatibili.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Esperto assegnato</w:t>
            </w:r>
          </w:p>
        </w:tc>
        <w:tc>
          <w:tcPr>
            <w:tcW w:type="dxa" w:w="720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Almeno un esperto è collegato al progetto.</w:t>
            </w:r>
          </w:p>
        </w:tc>
      </w:tr>
      <w:tr>
        <w:tc>
          <w:tcPr>
            <w:tcW w:type="dxa" w:w="288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Materiali cliente in attesa</w:t>
            </w:r>
          </w:p>
        </w:tc>
        <w:tc>
          <w:tcPr>
            <w:tcW w:type="dxa" w:w="720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Mancano o sono attesi materiali cliente.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In preparazione esperto</w:t>
            </w:r>
          </w:p>
        </w:tc>
        <w:tc>
          <w:tcPr>
            <w:tcW w:type="dxa" w:w="720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L’esperto prepara contenuti e deck.</w:t>
            </w:r>
          </w:p>
        </w:tc>
      </w:tr>
      <w:tr>
        <w:tc>
          <w:tcPr>
            <w:tcW w:type="dxa" w:w="288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In revisione brand</w:t>
            </w:r>
          </w:p>
        </w:tc>
        <w:tc>
          <w:tcPr>
            <w:tcW w:type="dxa" w:w="720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Brand sta revisionando deck, tono e asset.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Approvazione finale</w:t>
            </w:r>
          </w:p>
        </w:tc>
        <w:tc>
          <w:tcPr>
            <w:tcW w:type="dxa" w:w="720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I passaggi principali sono pronti per la conferma.</w:t>
            </w:r>
          </w:p>
        </w:tc>
      </w:tr>
      <w:tr>
        <w:tc>
          <w:tcPr>
            <w:tcW w:type="dxa" w:w="288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Evento provvisorio</w:t>
            </w:r>
          </w:p>
        </w:tc>
        <w:tc>
          <w:tcPr>
            <w:tcW w:type="dxa" w:w="720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Evento Google Calendar creato in modalità provvisoria.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nil" w:sz="0" w:space="0" w:color="auto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Confermato</w:t>
            </w:r>
          </w:p>
        </w:tc>
        <w:tc>
          <w:tcPr>
            <w:tcW w:type="dxa" w:w="720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nil" w:sz="0" w:space="0" w:color="auto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Evento definitivo confermato con calendario e materiali collegati.</w:t>
            </w:r>
          </w:p>
        </w:tc>
      </w:tr>
    </w:tbl>
    <w:p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eastAsia="Nunito" w:cs="Nunito"/>
          <w:color w:val="444748"/>
        </w:rPr>
      </w:r>
      <w:r>
        <w:rPr>
          <w:rFonts w:ascii="Nunito" w:hAnsi="Nunito" w:cs="Nunito" w:eastAsia="Nunito"/>
          <w:color w:val="444748"/>
        </w:rPr>
      </w:r>
      <w:r>
        <w:rPr>
          <w:rFonts w:ascii="Nunito" w:hAnsi="Nunito" w:cs="Nunito" w:eastAsia="Nunito"/>
        </w:rPr>
      </w:r>
      <w:r>
        <w:br w:type="page"/>
      </w:r>
    </w:p>
    <w:p>
      <w:pPr>
        <w:pStyle w:val="Heading1"/>
      </w:pPr>
      <w:r>
        <w:rPr>
          <w:rFonts w:ascii="Nunito" w:hAnsi="Nunito" w:cs="Nunito" w:eastAsia="Nunito"/>
          <w:i w:val="0"/>
          <w:color w:val="444748"/>
        </w:rPr>
        <w:t>9. Integrazioni Google Workspace</w:t>
      </w:r>
    </w:p>
    <w:p>
      <w:r>
        <w:rPr>
          <w:rFonts w:ascii="Nunito" w:hAnsi="Nunito" w:eastAsia="Nunito" w:cs="Nunito"/>
          <w:color w:val="444748"/>
        </w:rPr>
        <w:t>L’app usa un backend Apps Script per parlare con Google Workspace. Quando l’endpoint è configurato, le azioni passano da Sheets, Drive, Calendar e MailApp. Quando la configurazione non è disponibile o la sessione non è valida, l’interfaccia mostra lo stato operativo da verificare.</w:t>
      </w:r>
    </w:p>
    <w:p>
      <w:pPr/>
      <w:r>
        <w:t>Per i controlli operativi: verificare il percorso locale, l’ambiente live Google, il deploy Apps Script aggiornato e una sessione FunniFin valida.</w:t>
      </w:r>
    </w:p>
    <CT_P>
      <w:pPr/>
      <w:r>
        <w:t>Per i controlli operativi: verificare il percorso locale, l’ambiente live Google, il deploy Apps Script aggiornato e una sessione FunniFin valida.</w:t>
      </w:r>
    </CT_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12" w:space="0" w:color="E0E3E3"/>
          <w:insideV w:val="single" w:sz="12" w:space="0" w:color="E0E3E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/>
                <w:color w:val="000000"/>
                <w:sz w:val="17"/>
              </w:rPr>
            </w:r>
            <w:r>
              <w:rPr>
                <w:rFonts w:ascii="Nunito" w:hAnsi="Nunito" w:eastAsia="Nunito" w:cs="Nunito"/>
                <w:b/>
                <w:color w:val="000000"/>
                <w:sz w:val="17"/>
              </w:rPr>
              <w:t>Servizio</w:t>
            </w:r>
          </w:p>
        </w:tc>
        <w:tc>
          <w:tcPr>
            <w:tcW w:type="dxa" w:w="7704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/>
                <w:color w:val="000000"/>
                <w:sz w:val="17"/>
              </w:rPr>
            </w:r>
            <w:r>
              <w:rPr>
                <w:rFonts w:ascii="Nunito" w:hAnsi="Nunito" w:eastAsia="Nunito" w:cs="Nunito"/>
                <w:b/>
                <w:color w:val="000000"/>
                <w:sz w:val="17"/>
              </w:rPr>
              <w:t>Uso nell’app</w:t>
            </w:r>
          </w:p>
        </w:tc>
      </w:tr>
      <w:tr>
        <w:tc>
          <w:tcPr>
            <w:tcW w:type="dxa" w:w="2376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Google Sheets</w:t>
            </w:r>
          </w:p>
        </w:tc>
        <w:tc>
          <w:tcPr>
            <w:tcW w:type="dxa" w:w="7704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Registro richieste, catalogo, regole prezzo, esperti, settings, utenti e richieste accesso.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Google Drive</w:t>
            </w:r>
          </w:p>
        </w:tc>
        <w:tc>
          <w:tcPr>
            <w:tcW w:type="dxa" w:w="7704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Cartelle materiali cliente, presentazioni operative, deck esperto e preview Brand.</w:t>
            </w:r>
          </w:p>
        </w:tc>
      </w:tr>
      <w:tr>
        <w:tc>
          <w:tcPr>
            <w:tcW w:type="dxa" w:w="2376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Google Calendar</w:t>
            </w:r>
          </w:p>
        </w:tc>
        <w:tc>
          <w:tcPr>
            <w:tcW w:type="dxa" w:w="7704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FreeBusy, evento provvisorio/confermato e Meet link.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MailApp</w:t>
            </w:r>
          </w:p>
        </w:tc>
        <w:tc>
          <w:tcPr>
            <w:tcW w:type="dxa" w:w="7704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Recap richiesta e notifiche a Cliente, FunniFin, Esperto e Brand.</w:t>
            </w:r>
          </w:p>
        </w:tc>
      </w:tr>
      <w:tr>
        <w:tc>
          <w:tcPr>
            <w:tcW w:type="dxa" w:w="2376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nil" w:sz="0" w:space="0" w:color="auto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Apps Script</w:t>
            </w:r>
          </w:p>
        </w:tc>
        <w:tc>
          <w:tcPr>
            <w:tcW w:type="dxa" w:w="7704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nil" w:sz="0" w:space="0" w:color="auto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Web app che espone le azioni chiamate dal frontend.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12" w:space="0" w:color="E0E3E3"/>
          <w:insideV w:val="single" w:sz="12" w:space="0" w:color="E0E3E3"/>
        </w:tblBorders>
      </w:tblPr>
      <w:tblGrid>
        <w:gridCol w:w="9994"/>
      </w:tblGrid>
      <w:tr>
        <w:trPr>
          <w:tblHeader w:val="true"/>
        </w:trPr>
        <w:tc>
          <w:tcPr>
            <w:tcW w:type="dxa" w:w="9994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000000"/>
                <w:sz w:val="17"/>
              </w:rPr>
              <w:t>SESSIONE RICHIESTA</w:t>
            </w:r>
          </w:p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000000"/>
                <w:sz w:val="17"/>
              </w:rPr>
              <w:t>Le azioni admin reali richiedono una sessione FunniFin valida. Se Google backend segnala errore, controlla login, deploy Apps Script, variabili Vercel e permessi del progetto Google.</w:t>
            </w:r>
          </w:p>
        </w:tc>
      </w:tr>
    </w:tbl>
    <w:p/>
    <w:p>
      <w:pPr>
        <w:pStyle w:val="Heading1"/>
      </w:pPr>
      <w:r>
        <w:rPr>
          <w:rFonts w:ascii="Nunito" w:hAnsi="Nunito" w:cs="Nunito" w:eastAsia="Nunito"/>
          <w:i w:val="0"/>
          <w:color w:val="444748"/>
        </w:rPr>
        <w:t>10. Problemi frequenti e azioni consigliate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12" w:space="0" w:color="E0E3E3"/>
          <w:insideV w:val="single" w:sz="12" w:space="0" w:color="E0E3E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/>
                <w:color w:val="000000"/>
                <w:sz w:val="17"/>
              </w:rPr>
            </w:r>
            <w:r>
              <w:rPr>
                <w:rFonts w:ascii="Nunito" w:hAnsi="Nunito" w:eastAsia="Nunito" w:cs="Nunito"/>
                <w:b/>
                <w:color w:val="000000"/>
                <w:sz w:val="17"/>
              </w:rPr>
              <w:t>Problema</w:t>
            </w:r>
          </w:p>
        </w:tc>
        <w:tc>
          <w:tcPr>
            <w:tcW w:type="dxa" w:w="3528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/>
                <w:color w:val="000000"/>
                <w:sz w:val="17"/>
              </w:rPr>
            </w:r>
            <w:r>
              <w:rPr>
                <w:rFonts w:ascii="Nunito" w:hAnsi="Nunito" w:eastAsia="Nunito" w:cs="Nunito"/>
                <w:b/>
                <w:color w:val="000000"/>
                <w:sz w:val="17"/>
              </w:rPr>
              <w:t>Causa probabile</w:t>
            </w:r>
          </w:p>
        </w:tc>
        <w:tc>
          <w:tcPr>
            <w:tcW w:type="dxa" w:w="4176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/>
                <w:color w:val="000000"/>
                <w:sz w:val="17"/>
              </w:rPr>
            </w:r>
            <w:r>
              <w:rPr>
                <w:rFonts w:ascii="Nunito" w:hAnsi="Nunito" w:eastAsia="Nunito" w:cs="Nunito"/>
                <w:b/>
                <w:color w:val="000000"/>
                <w:sz w:val="17"/>
              </w:rPr>
              <w:t>Azione consigliata</w:t>
            </w:r>
          </w:p>
        </w:tc>
      </w:tr>
      <w:tr>
        <w:tc>
          <w:tcPr>
            <w:tcW w:type="dxa" w:w="2376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Non vedo FunniFin/Esperto/Brand</w:t>
            </w:r>
          </w:p>
        </w:tc>
        <w:tc>
          <w:tcPr>
            <w:tcW w:type="dxa" w:w="3528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Utente non autenticato o ruolo non abilitato</w:t>
            </w:r>
          </w:p>
        </w:tc>
        <w:tc>
          <w:tcPr>
            <w:tcW w:type="dxa" w:w="4176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Accedi con email e codice; FunniFin può creare o aggiornare l’utente in Utenti e inviti.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Il Cliente non riesce a inviare</w:t>
            </w:r>
          </w:p>
        </w:tc>
        <w:tc>
          <w:tcPr>
            <w:tcW w:type="dxa" w:w="3528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Mancano workshop, date o dati contatto</w:t>
            </w:r>
          </w:p>
        </w:tc>
        <w:tc>
          <w:tcPr>
            <w:tcW w:type="dxa" w:w="4176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Torna allo step indicato dal toast e completa i campi richiesti.</w:t>
            </w:r>
          </w:p>
        </w:tc>
      </w:tr>
      <w:tr>
        <w:tc>
          <w:tcPr>
            <w:tcW w:type="dxa" w:w="2376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Email non partita</w:t>
            </w:r>
          </w:p>
        </w:tc>
        <w:tc>
          <w:tcPr>
            <w:tcW w:type="dxa" w:w="3528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MailApp/backend non disponibile o quota esaurita</w:t>
            </w:r>
          </w:p>
        </w:tc>
        <w:tc>
          <w:tcPr>
            <w:tcW w:type="dxa" w:w="4176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Controlla Google backend e quota MailApp; la richiesta può comunque risultare salvata.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FreeBusy non funziona</w:t>
            </w:r>
          </w:p>
        </w:tc>
        <w:tc>
          <w:tcPr>
            <w:tcW w:type="dxa" w:w="3528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Calendar ID/settings mancanti o permessi non concessi</w:t>
            </w:r>
          </w:p>
        </w:tc>
        <w:tc>
          <w:tcPr>
            <w:tcW w:type="dxa" w:w="4176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Apri Google backend, verifica settings e permessi Apps Script.</w:t>
            </w:r>
          </w:p>
        </w:tc>
      </w:tr>
      <w:tr>
        <w:tc>
          <w:tcPr>
            <w:tcW w:type="dxa" w:w="2376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Drive non mostra file</w:t>
            </w:r>
          </w:p>
        </w:tc>
        <w:tc>
          <w:tcPr>
            <w:tcW w:type="dxa" w:w="3528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Cartella non configurata o deploy Apps Script non aggiornato</w:t>
            </w:r>
          </w:p>
        </w:tc>
        <w:tc>
          <w:tcPr>
            <w:tcW w:type="dxa" w:w="4176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Verifica root Drive/Slides e ricarica la sezione.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nil" w:sz="0" w:space="0" w:color="auto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Brand non vede deck</w:t>
            </w:r>
          </w:p>
        </w:tc>
        <w:tc>
          <w:tcPr>
            <w:tcW w:type="dxa" w:w="3528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nil" w:sz="0" w:space="0" w:color="auto"/>
              <w:right w:val="single" w:sz="12" w:space="0" w:color="E0E3E3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Nessun file nella cartella o action Drive mancante</w:t>
            </w:r>
          </w:p>
        </w:tc>
        <w:tc>
          <w:tcPr>
            <w:tcW w:type="dxa" w:w="4176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nil" w:sz="0" w:space="0" w:color="auto"/>
              <w:right w:val="nil" w:sz="0" w:space="0" w:color="auto"/>
            </w:tcBorders>
          </w:tcPr>
          <w:p>
            <w:pPr>
              <w:spacing w:after="0"/>
            </w:pP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</w:r>
            <w:r>
              <w:rPr>
                <w:rFonts w:ascii="Nunito" w:hAnsi="Nunito" w:eastAsia="Nunito" w:cs="Nunito"/>
                <w:b w:val="0"/>
                <w:color w:val="444748"/>
                <w:sz w:val="17"/>
              </w:rPr>
              <w:t>Ricarica presentazioni Drive e verifica che il deck sia nella cartella configurata.</w:t>
            </w:r>
          </w:p>
        </w:tc>
      </w:tr>
    </w:tbl>
    <w:p>
      <w:r>
        <w:rPr>
          <w:rFonts w:ascii="Nunito" w:hAnsi="Nunito" w:eastAsia="Nunito" w:cs="Nunito"/>
          <w:color w:val="444748"/>
        </w:rPr>
      </w:r>
    </w:p>
    <w:p>
      <w:r>
        <w:br w:type="page"/>
      </w:r>
    </w:p>
    <w:p>
      <w:pPr>
        <w:pStyle w:val="Heading1"/>
      </w:pPr>
      <w:r>
        <w:t>11. Comportamenti comuni e bottom sheet fisso</w:t>
      </w:r>
    </w:p>
    <w:p>
      <w:r>
        <w:t>Il bottom action bar e il fixed bottom sheet sono il comando operativo persistente dell’app. Restano ancorati al bordo inferiore nelle viste principali e riassumono lo stato corrente senza costringere l’utente a tornare in alto. La regola d’uso è sempre la stessa: a sinistra contesto e riepilogo, a destra azioni. Se un prerequisito manca, la CTA primaria resta disabilitata e sotto compare un hint testuale.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12" w:space="0" w:color="E0E3E3"/>
          <w:insideV w:val="single" w:sz="12" w:space="0" w:color="E0E3E3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000000"/>
                <w:b/>
              </w:rPr>
            </w:r>
            <w:r>
              <w:rPr>
                <w:b/>
                <w:sz w:val="17"/>
                <w:rFonts w:ascii="Nunito" w:hAnsi="Nunito" w:cs="Nunito" w:eastAsia="Nunito"/>
                <w:color w:val="000000"/>
              </w:rPr>
              <w:t>Elemento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000000"/>
                <w:b/>
              </w:rPr>
            </w:r>
            <w:r>
              <w:rPr>
                <w:b/>
                <w:sz w:val="17"/>
                <w:rFonts w:ascii="Nunito" w:hAnsi="Nunito" w:cs="Nunito" w:eastAsia="Nunito"/>
                <w:color w:val="000000"/>
              </w:rPr>
              <w:t>Comportamento da verificare</w:t>
            </w:r>
          </w:p>
        </w:tc>
      </w:tr>
      <w:tr>
        <w:tc>
          <w:tcPr>
            <w:tcW w:type="dxa" w:w="5112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Contesto</w:t>
            </w:r>
          </w:p>
        </w:tc>
        <w:tc>
          <w:tcPr>
            <w:tcW w:type="dxa" w:w="5112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Mostra step o area attiva: per Cliente indica Interessi/Workshop/Date; per ruoli riservati indica progetto o sezione operativa.</w:t>
            </w:r>
          </w:p>
        </w:tc>
      </w:tr>
      <w:tr>
        <w:tc>
          <w:tcPr>
            <w:tcW w:type="dxa" w:w="5112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Dettaglio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Mostra conteggi, totale, progetto o stato utile alla prossima azione.</w:t>
            </w:r>
          </w:p>
        </w:tc>
      </w:tr>
      <w:tr>
        <w:tc>
          <w:tcPr>
            <w:tcW w:type="dxa" w:w="5112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Prezzo</w:t>
            </w:r>
          </w:p>
        </w:tc>
        <w:tc>
          <w:tcPr>
            <w:tcW w:type="dxa" w:w="5112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Quando presente mostra prezzo precedente, prezzo finale e label sconto; non appare in viste dove non serve.</w:t>
            </w:r>
          </w:p>
        </w:tc>
      </w:tr>
      <w:tr>
        <w:tc>
          <w:tcPr>
            <w:tcW w:type="dxa" w:w="5112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Back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Icona freccia con aria-label; compare solo quando esiste un’azione di ritorno sensata.</w:t>
            </w:r>
          </w:p>
        </w:tc>
      </w:tr>
      <w:tr>
        <w:tc>
          <w:tcPr>
            <w:tcW w:type="dxa" w:w="5112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Secondaria</w:t>
            </w:r>
          </w:p>
        </w:tc>
        <w:tc>
          <w:tcPr>
            <w:tcW w:type="dxa" w:w="5112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Azione ghost contestuale: esplora, modifica, aggiorna o annulla a seconda dello step.</w:t>
            </w:r>
          </w:p>
        </w:tc>
      </w:tr>
      <w:tr>
        <w:tc>
          <w:tcPr>
            <w:tcW w:type="dxa" w:w="5112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Primaria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Azione principale; se disabilitata deve spiegare cosa manca con primaryHint.</w:t>
            </w:r>
          </w:p>
        </w:tc>
      </w:tr>
      <w:tr>
        <w:tc>
          <w:tcPr>
            <w:tcW w:type="dxa" w:w="5112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nil" w:sz="0" w:space="0" w:color="auto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Mobile/desktop</w:t>
            </w:r>
          </w:p>
        </w:tc>
        <w:tc>
          <w:tcPr>
            <w:tcW w:type="dxa" w:w="5112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nil" w:sz="0" w:space="0" w:color="auto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Il contenuto deve restare leggibile e non sovrapporsi; il footer non deve coprire modali o pannelli critici.</w:t>
            </w:r>
          </w:p>
        </w:tc>
      </w:tr>
    </w:tbl>
    <w:p>
      <w:r>
        <w:rPr>
          <w:b/>
          <w:rFonts w:ascii="Nunito" w:hAnsi="Nunito" w:cs="Nunito" w:eastAsia="Nunito"/>
          <w:color w:val="444748"/>
        </w:rPr>
        <w:t xml:space="preserve">Minuzia operativa: </w:t>
      </w:r>
      <w:r>
        <w:t>Il bottone principale non deve essere usato come unica fonte informativa: quando è disabilitato, l’hint sotto il bottone deve spiegare quale dato manca, ad esempio interesse, workshop, data o contatto.</w:t>
      </w:r>
    </w:p>
    <w:p>
      <w:pPr>
        <w:pStyle w:val="Heading1"/>
      </w:pPr>
      <w:r>
        <w:t>12. Toast, notifiche e centro notifiche</w:t>
      </w:r>
    </w:p>
    <w:p>
      <w:r>
        <w:t>L’app distingue i toast locali dalle notifiche persistenti. I toast sono feedback rapidi e spariscono automaticamente. Le notifiche persistenti entrano nel centro notifiche solo quando notify() riceve una audience esplicita. Il Cliente non ha centro notifiche: la campanella appare solo per FunniFin, Esperto e Brand.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12" w:space="0" w:color="E0E3E3"/>
          <w:insideV w:val="single" w:sz="12" w:space="0" w:color="E0E3E3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000000"/>
                <w:b/>
              </w:rPr>
            </w:r>
            <w:r>
              <w:rPr>
                <w:b/>
                <w:sz w:val="17"/>
                <w:rFonts w:ascii="Nunito" w:hAnsi="Nunito" w:cs="Nunito" w:eastAsia="Nunito"/>
                <w:color w:val="000000"/>
              </w:rPr>
              <w:t>Tipo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000000"/>
                <w:b/>
              </w:rPr>
            </w:r>
            <w:r>
              <w:rPr>
                <w:b/>
                <w:sz w:val="17"/>
                <w:rFonts w:ascii="Nunito" w:hAnsi="Nunito" w:cs="Nunito" w:eastAsia="Nunito"/>
                <w:color w:val="000000"/>
              </w:rPr>
              <w:t>Dove appare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000000"/>
                <w:b/>
              </w:rPr>
            </w:r>
            <w:r>
              <w:rPr>
                <w:b/>
                <w:sz w:val="17"/>
                <w:rFonts w:ascii="Nunito" w:hAnsi="Nunito" w:cs="Nunito" w:eastAsia="Nunito"/>
                <w:color w:val="000000"/>
              </w:rPr>
              <w:t>Quando si usa</w:t>
            </w:r>
          </w:p>
        </w:tc>
      </w:tr>
      <w:tr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Toast locale</w:t>
            </w:r>
          </w:p>
        </w:tc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Angolo UI/toast stack temporaneo</w:t>
            </w:r>
          </w:p>
        </w:tc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Feedback immediato: interesse aggiunto, date scelte, errore caricamento, sezione aggiornata.</w:t>
            </w:r>
          </w:p>
        </w:tc>
      </w:tr>
      <w:tr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Notifica task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Centro notifiche, tab Da fare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Azione da completare: candidatura, revisione, approvazione, apertura progetto.</w:t>
            </w:r>
          </w:p>
        </w:tc>
      </w:tr>
      <w:tr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Notifica mail</w:t>
            </w:r>
          </w:p>
        </w:tc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Centro notifiche e filtri Mail</w:t>
            </w:r>
          </w:p>
        </w:tc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Invio email riuscito, pronto per verifica o errore di consegna.</w:t>
            </w:r>
          </w:p>
        </w:tc>
      </w:tr>
      <w:tr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Notifica system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Centro notifiche e filtri Sistema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Stato backend, sync Drive/Sheets/Calendar, health check.</w:t>
            </w:r>
          </w:p>
        </w:tc>
      </w:tr>
      <w:tr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nil" w:sz="0" w:space="0" w:color="auto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Notifica feedback</w:t>
            </w:r>
          </w:p>
        </w:tc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nil" w:sz="0" w:space="0" w:color="auto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Centro notifiche se persistita con audience</w:t>
            </w:r>
          </w:p>
        </w:tc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nil" w:sz="0" w:space="0" w:color="auto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Messaggi generici indirizzati a un ruolo operativo.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12" w:space="0" w:color="E0E3E3"/>
          <w:insideV w:val="single" w:sz="12" w:space="0" w:color="E0E3E3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000000"/>
                <w:b/>
              </w:rPr>
            </w:r>
            <w:r>
              <w:rPr>
                <w:b/>
                <w:sz w:val="17"/>
                <w:rFonts w:ascii="Nunito" w:hAnsi="Nunito" w:cs="Nunito" w:eastAsia="Nunito"/>
                <w:color w:val="000000"/>
              </w:rPr>
              <w:t>Campo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000000"/>
                <w:b/>
              </w:rPr>
            </w:r>
            <w:r>
              <w:rPr>
                <w:b/>
                <w:sz w:val="17"/>
                <w:rFonts w:ascii="Nunito" w:hAnsi="Nunito" w:cs="Nunito" w:eastAsia="Nunito"/>
                <w:color w:val="000000"/>
              </w:rPr>
              <w:t>Valori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000000"/>
                <w:b/>
              </w:rPr>
            </w:r>
            <w:r>
              <w:rPr>
                <w:b/>
                <w:sz w:val="17"/>
                <w:rFonts w:ascii="Nunito" w:hAnsi="Nunito" w:cs="Nunito" w:eastAsia="Nunito"/>
                <w:color w:val="000000"/>
              </w:rPr>
              <w:t>Regola</w:t>
            </w:r>
          </w:p>
        </w:tc>
      </w:tr>
      <w:tr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Audience</w:t>
            </w:r>
          </w:p>
        </w:tc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FunniFin, Esperto, Brand</w:t>
            </w:r>
          </w:p>
        </w:tc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Solo questi ruoli possono ricevere notifiche persistenti; Cliente escluso.</w:t>
            </w:r>
          </w:p>
        </w:tc>
      </w:tr>
      <w:tr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Priority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critical, task, info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critical attiva stile urgente; task entra nel tab Da fare; info resta informativa.</w:t>
            </w:r>
          </w:p>
        </w:tc>
      </w:tr>
      <w:tr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Category</w:t>
            </w:r>
          </w:p>
        </w:tc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task, mail, system, feedback</w:t>
            </w:r>
          </w:p>
        </w:tc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Guida icona, tag e filtri chip.</w:t>
            </w:r>
          </w:p>
        </w:tc>
      </w:tr>
      <w:tr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Status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open, closed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Open conta nei badge; closed entra in Chiuse ed è riapribile.</w:t>
            </w:r>
          </w:p>
        </w:tc>
      </w:tr>
      <w:tr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Read</w:t>
            </w:r>
          </w:p>
        </w:tc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readBy e readByUserIds</w:t>
            </w:r>
          </w:p>
        </w:tc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Apertura pannello marca visibili come lette; il badge considera utente/email quando disponibili.</w:t>
            </w:r>
          </w:p>
        </w:tc>
      </w:tr>
      <w:tr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nil" w:sz="0" w:space="0" w:color="auto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Action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nil" w:sz="0" w:space="0" w:color="auto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label, role, hash, section, projectId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nil" w:sz="0" w:space="0" w:color="auto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Il click marca letta, cambia ruolo se FunniFin impersona, naviga a hash/sezione/progetto e chiude il pannello.</w:t>
            </w:r>
          </w:p>
        </w:tc>
      </w:tr>
    </w:tbl>
    <w:p>
      <w:r>
        <w:rPr>
          <w:b/>
          <w:rFonts w:ascii="Nunito" w:hAnsi="Nunito" w:cs="Nunito" w:eastAsia="Nunito"/>
          <w:color w:val="444748"/>
        </w:rPr>
        <w:t xml:space="preserve">Badge: </w:t>
      </w:r>
      <w:r>
        <w:t>Il numero sulla campanella conta le notifiche aperte visibili per quel ruolo/utente. Sopra 9 mostra 9+. Se esiste una critical aperta, la campanella assume stato urgent/pulse.</w:t>
      </w:r>
    </w:p>
    <w:p>
      <w:r>
        <w:rPr>
          <w:b/>
          <w:rFonts w:ascii="Nunito" w:hAnsi="Nunito" w:cs="Nunito" w:eastAsia="Nunito"/>
          <w:color w:val="444748"/>
        </w:rPr>
        <w:t xml:space="preserve">Archivio: </w:t>
      </w:r>
      <w:r>
        <w:t>Archivia non cancella la notifica: passa a status closed. Nel tab Chiuse si può riaprire o svuotare l’archivio chiuso del ruolo.</w:t>
      </w:r>
    </w:p>
    <w:p>
      <w:pPr>
        <w:pStyle w:val="Heading1"/>
      </w:pPr>
      <w:r>
        <w:t>13. Mail inviate e destinatari</w:t>
      </w:r>
    </w:p>
    <w:p>
      <w:r>
        <w:t>Le mail sono due famiglie: recap della richiesta Cliente e notifiche workflow. Entrambe passano da Apps Script quando VITE_GOOGLE_APP_SCRIPT_URL è configurato; l’app deve sempre segnalare a FunniFin lo stato dell’invio.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12" w:space="0" w:color="E0E3E3"/>
          <w:insideV w:val="single" w:sz="12" w:space="0" w:color="E0E3E3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000000"/>
                <w:b/>
              </w:rPr>
            </w:r>
            <w:r>
              <w:rPr>
                <w:b/>
                <w:sz w:val="17"/>
                <w:rFonts w:ascii="Nunito" w:hAnsi="Nunito" w:cs="Nunito" w:eastAsia="Nunito"/>
                <w:color w:val="000000"/>
              </w:rPr>
              <w:t>Famiglia</w:t>
            </w:r>
          </w:p>
        </w:tc>
        <w:tc>
          <w:tcPr>
            <w:tcW w:type="dxa" w:w="2045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000000"/>
                <w:b/>
              </w:rPr>
            </w:r>
            <w:r>
              <w:rPr>
                <w:b/>
                <w:sz w:val="17"/>
                <w:rFonts w:ascii="Nunito" w:hAnsi="Nunito" w:cs="Nunito" w:eastAsia="Nunito"/>
                <w:color w:val="000000"/>
              </w:rPr>
              <w:t>Funzione</w:t>
            </w:r>
          </w:p>
        </w:tc>
        <w:tc>
          <w:tcPr>
            <w:tcW w:type="dxa" w:w="2045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000000"/>
                <w:b/>
              </w:rPr>
            </w:r>
            <w:r>
              <w:rPr>
                <w:b/>
                <w:sz w:val="17"/>
                <w:rFonts w:ascii="Nunito" w:hAnsi="Nunito" w:cs="Nunito" w:eastAsia="Nunito"/>
                <w:color w:val="000000"/>
              </w:rPr>
              <w:t>Oggetto</w:t>
            </w:r>
          </w:p>
        </w:tc>
        <w:tc>
          <w:tcPr>
            <w:tcW w:type="dxa" w:w="2045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000000"/>
                <w:b/>
              </w:rPr>
            </w:r>
            <w:r>
              <w:rPr>
                <w:b/>
                <w:sz w:val="17"/>
                <w:rFonts w:ascii="Nunito" w:hAnsi="Nunito" w:cs="Nunito" w:eastAsia="Nunito"/>
                <w:color w:val="000000"/>
              </w:rPr>
              <w:t>Destinatari</w:t>
            </w:r>
          </w:p>
        </w:tc>
        <w:tc>
          <w:tcPr>
            <w:tcW w:type="dxa" w:w="2045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000000"/>
                <w:b/>
              </w:rPr>
            </w:r>
            <w:r>
              <w:rPr>
                <w:b/>
                <w:sz w:val="17"/>
                <w:rFonts w:ascii="Nunito" w:hAnsi="Nunito" w:cs="Nunito" w:eastAsia="Nunito"/>
                <w:color w:val="000000"/>
              </w:rPr>
              <w:t>Contenuto</w:t>
            </w:r>
          </w:p>
        </w:tc>
      </w:tr>
      <w:tr>
        <w:tc>
          <w:tcPr>
            <w:tcW w:type="dxa" w:w="2045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Richiesta cliente</w:t>
            </w:r>
          </w:p>
        </w:tc>
        <w:tc>
          <w:tcPr>
            <w:tcW w:type="dxa" w:w="2045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sendWorkshopRequestEmail</w:t>
            </w:r>
          </w:p>
        </w:tc>
        <w:tc>
          <w:tcPr>
            <w:tcW w:type="dxa" w:w="2045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Richiesta workshop FunniFin - &lt;azienda&gt;</w:t>
            </w:r>
          </w:p>
        </w:tc>
        <w:tc>
          <w:tcPr>
            <w:tcW w:type="dxa" w:w="2045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Cliente in TO; FunniFin interno in CC/config mail.cc</w:t>
            </w:r>
          </w:p>
        </w:tc>
        <w:tc>
          <w:tcPr>
            <w:tcW w:type="dxa" w:w="2045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Dati referente, workshop, date, preventivo, prossimi passi.</w:t>
            </w:r>
          </w:p>
        </w:tc>
      </w:tr>
      <w:tr>
        <w:tc>
          <w:tcPr>
            <w:tcW w:type="dxa" w:w="2045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nil" w:sz="0" w:space="0" w:color="auto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Workflow</w:t>
            </w:r>
          </w:p>
        </w:tc>
        <w:tc>
          <w:tcPr>
            <w:tcW w:type="dxa" w:w="2045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nil" w:sz="0" w:space="0" w:color="auto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sendWorkflowNotification</w:t>
            </w:r>
          </w:p>
        </w:tc>
        <w:tc>
          <w:tcPr>
            <w:tcW w:type="dxa" w:w="2045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nil" w:sz="0" w:space="0" w:color="auto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FunniFin - &lt;azienda&gt; - &lt;phase&gt;</w:t>
            </w:r>
          </w:p>
        </w:tc>
        <w:tc>
          <w:tcPr>
            <w:tcW w:type="dxa" w:w="2045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nil" w:sz="0" w:space="0" w:color="auto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Ruoli scelti nella modale: client, funnifin, expert, brand</w:t>
            </w:r>
          </w:p>
        </w:tc>
        <w:tc>
          <w:tcPr>
            <w:tcW w:type="dxa" w:w="2045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nil" w:sz="0" w:space="0" w:color="auto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Stato progetto, workshop/date, note operative, link azione, eventuale evento/Meet.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12" w:space="0" w:color="E0E3E3"/>
          <w:insideV w:val="single" w:sz="12" w:space="0" w:color="E0E3E3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000000"/>
                <w:b/>
              </w:rPr>
            </w:r>
            <w:r>
              <w:rPr>
                <w:b/>
                <w:sz w:val="17"/>
                <w:rFonts w:ascii="Nunito" w:hAnsi="Nunito" w:cs="Nunito" w:eastAsia="Nunito"/>
                <w:color w:val="000000"/>
              </w:rPr>
              <w:t>Fase/modale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000000"/>
                <w:b/>
              </w:rPr>
            </w:r>
            <w:r>
              <w:rPr>
                <w:b/>
                <w:sz w:val="17"/>
                <w:rFonts w:ascii="Nunito" w:hAnsi="Nunito" w:cs="Nunito" w:eastAsia="Nunito"/>
                <w:color w:val="000000"/>
              </w:rPr>
              <w:t>Destinatari precompilati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000000"/>
                <w:b/>
              </w:rPr>
            </w:r>
            <w:r>
              <w:rPr>
                <w:b/>
                <w:sz w:val="17"/>
                <w:rFonts w:ascii="Nunito" w:hAnsi="Nunito" w:cs="Nunito" w:eastAsia="Nunito"/>
                <w:color w:val="000000"/>
              </w:rPr>
              <w:t>Nota importante</w:t>
            </w:r>
          </w:p>
        </w:tc>
      </w:tr>
      <w:tr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Modifica richiesta</w:t>
            </w:r>
          </w:p>
        </w:tc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client + funnifin</w:t>
            </w:r>
          </w:p>
        </w:tc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Toggle invio spento di default; FunniFin decide se spedire.</w:t>
            </w:r>
          </w:p>
        </w:tc>
      </w:tr>
      <w:tr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Data approvata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client + funnifin se tutte le date risultano complete, altrimenti funnifin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Evita aggiornamenti parziali al cliente quando restano date incomplete.</w:t>
            </w:r>
          </w:p>
        </w:tc>
      </w:tr>
      <w:tr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Modifica data richiesta</w:t>
            </w:r>
          </w:p>
        </w:tc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funnifin</w:t>
            </w:r>
          </w:p>
        </w:tc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Default conservativo/editabile nella modale; nota spiega nuova proposta necessaria.</w:t>
            </w:r>
          </w:p>
        </w:tc>
      </w:tr>
      <w:tr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Assegna esperto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funnifin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L’assegnazione può generare anche notifica task interna o verso esperto se scelta.</w:t>
            </w:r>
          </w:p>
        </w:tc>
      </w:tr>
      <w:tr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Apri candidature</w:t>
            </w:r>
          </w:p>
        </w:tc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expert</w:t>
            </w:r>
          </w:p>
        </w:tc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Invita gli esperti/opportunità compatibili a candidarsi.</w:t>
            </w:r>
          </w:p>
        </w:tc>
      </w:tr>
      <w:tr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Handoff Brand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brand + funnifin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Avvisa Brand della revisione materiali e mantiene FunniFin in copia operativa.</w:t>
            </w:r>
          </w:p>
        </w:tc>
      </w:tr>
      <w:tr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Crea evento</w:t>
            </w:r>
          </w:p>
        </w:tc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client + funnifin</w:t>
            </w:r>
          </w:p>
        </w:tc>
        <w:tc>
          <w:tcPr>
            <w:tcW w:type="dxa" w:w="3408"/>
            <w:vAlign w:val="center"/>
            <w:shd w:fill="F4F4F4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Può essere provvisorio o confermato; include Calendar/Meet quando presenti.</w:t>
            </w:r>
          </w:p>
        </w:tc>
      </w:tr>
      <w:tr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nil" w:sz="0" w:space="0" w:color="auto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Errore invio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nil" w:sz="0" w:space="0" w:color="auto"/>
              <w:right w:val="single" w:sz="12" w:space="0" w:color="E0E3E3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notifica FunniFin critical/mail</w:t>
            </w:r>
          </w:p>
        </w:tc>
        <w:tc>
          <w:tcPr>
            <w:tcW w:type="dxa" w:w="3408"/>
            <w:vAlign w:val="center"/>
            <w:shd w:fill="FFFFFF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nil" w:sz="0" w:space="0" w:color="auto"/>
              <w:right w:val="nil" w:sz="0" w:space="0" w:color="auto"/>
            </w:tcBorders>
          </w:tcPr>
          <w:p>
            <w:r>
              <w:rPr>
                <w:sz w:val="17"/>
                <w:rFonts w:ascii="Nunito" w:hAnsi="Nunito" w:cs="Nunito" w:eastAsia="Nunito"/>
                <w:color w:val="444748"/>
              </w:rPr>
            </w:r>
            <w:r>
              <w:rPr>
                <w:b w:val="0"/>
                <w:sz w:val="17"/>
                <w:rFonts w:ascii="Nunito" w:hAnsi="Nunito" w:cs="Nunito" w:eastAsia="Nunito"/>
                <w:color w:val="444748"/>
              </w:rPr>
              <w:t>Se Apps Script non conferma, FunniFin vede Email non inviata con azione Verifica Google.</w:t>
            </w:r>
          </w:p>
        </w:tc>
      </w:tr>
    </w:tbl>
    <w:p>
      <w:r>
        <w:rPr>
          <w:rFonts w:ascii="Nunito" w:hAnsi="Nunito" w:cs="Nunito" w:eastAsia="Nunito"/>
          <w:color w:val="444748"/>
          <w:sz w:val="21"/>
        </w:rPr>
        <w:t>Stato invio: se Apps Script non è configurato o la richiesta non viene completata, l’app mostra consegna da verificare e mantiene i dettagli utili per FunniFin.</w:t>
      </w:r>
    </w:p>
    <w:p>
      <w:pPr>
        <w:pStyle w:val="Heading1"/>
      </w:pPr>
      <w:r>
        <w:t>14. Atlante UI annotato</w:t>
      </w:r>
    </w:p>
    <w:p>
      <w:r>
        <w:t>Le figure seguenti sono state rigenerate dalla UI corrente e annotate con pallini gialli numerati. Ogni legenda indica cosa verificare e cosa spiegare all’utente operativo. Le immagini coprono viste complete, close-up e diagrammi dei comportamenti che non emergono da una sola schermata.</w:t>
      </w:r>
    </w:p>
    <w:p>
      <w:r>
        <w:rPr>
          <w:rFonts w:ascii="Nunito" w:hAnsi="Nunito" w:cs="Nunito" w:eastAsia="Nunito"/>
          <w:b/>
          <w:color w:val="444748"/>
          <w:sz w:val="21"/>
        </w:rPr>
        <w:t>Figura A01 - Accesso area riservata</w:t>
      </w:r>
    </w:p>
    <w:p>
      <w:r>
        <w:drawing>
          <wp:inline xmlns:a="http://schemas.openxmlformats.org/drawingml/2006/main" xmlns:pic="http://schemas.openxmlformats.org/drawingml/2006/picture">
            <wp:extent cx="5897880" cy="4095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1-login-area-riserva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A01, punto 1: Campo email abilitata.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A01, punto 2: Codice a 6 cifre inviato/validato da FunniFin.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A01, punto 3: Azione di ingresso o richiesta codice.</w:t>
      </w:r>
    </w:p>
    <w:p>
      <w:r>
        <w:rPr>
          <w:rFonts w:ascii="Nunito" w:hAnsi="Nunito" w:cs="Nunito" w:eastAsia="Nunito"/>
          <w:b/>
          <w:color w:val="444748"/>
          <w:sz w:val="21"/>
        </w:rPr>
        <w:t>Figura A02 - Cliente - partenza senza preselezioni</w:t>
      </w:r>
    </w:p>
    <w:p>
      <w:r>
        <w:drawing>
          <wp:inline xmlns:a="http://schemas.openxmlformats.org/drawingml/2006/main" xmlns:pic="http://schemas.openxmlformats.org/drawingml/2006/picture">
            <wp:extent cx="2924070" cy="4434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2-cliente-partenza-vuot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4070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A02, punto 1: Stepper del percorso pubblico.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A02, punto 2: Stato iniziale: nessun interesse o tema preselezionato.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A02, punto 3: Bottom bar fisso con CTA disabilitata finche mancano scelte.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A02, punto 4: Accesso area riservata separato dal flusso Cliente.</w:t>
      </w:r>
    </w:p>
    <w:p>
      <w:r>
        <w:rPr>
          <w:rFonts w:ascii="Nunito" w:hAnsi="Nunito" w:cs="Nunito" w:eastAsia="Nunito"/>
          <w:b/>
          <w:color w:val="444748"/>
          <w:sz w:val="21"/>
        </w:rPr>
        <w:t>Figura A03 - Cliente - stepper superiore</w:t>
      </w:r>
    </w:p>
    <w:p>
      <w:r>
        <w:drawing>
          <wp:inline xmlns:a="http://schemas.openxmlformats.org/drawingml/2006/main" xmlns:pic="http://schemas.openxmlformats.org/drawingml/2006/picture">
            <wp:extent cx="5669280" cy="10078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3-cliente-stepper-e-stat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A03, punto 1: Step corrente.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A03, punto 2: Step successivi del percorso.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A03, punto 3: Navigazione guidata: ogni step abilita azioni coerenti.</w:t>
      </w:r>
    </w:p>
    <w:p>
      <w:r>
        <w:rPr>
          <w:rFonts w:ascii="Nunito" w:hAnsi="Nunito" w:cs="Nunito" w:eastAsia="Nunito"/>
          <w:b/>
          <w:color w:val="444748"/>
          <w:sz w:val="21"/>
        </w:rPr>
        <w:t>Figura A04 - Cliente - interessi e temi</w:t>
      </w:r>
    </w:p>
    <w:p>
      <w:r>
        <w:drawing>
          <wp:inline xmlns:a="http://schemas.openxmlformats.org/drawingml/2006/main" xmlns:pic="http://schemas.openxmlformats.org/drawingml/2006/picture">
            <wp:extent cx="5897880" cy="4095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4-cliente-interessi-tem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A04, punto 1: Card interesse selezionabile.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A04, punto 2: Pannello temi collegati.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A04, punto 3: Comando per continuare verso consigliati/catalogo.</w:t>
      </w:r>
    </w:p>
    <w:p>
      <w:r>
        <w:rPr>
          <w:rFonts w:ascii="Nunito" w:hAnsi="Nunito" w:cs="Nunito" w:eastAsia="Nunito"/>
          <w:b/>
          <w:color w:val="444748"/>
          <w:sz w:val="21"/>
        </w:rPr>
        <w:t>Figura A05 - Cliente - dettaglio temi</w:t>
      </w:r>
    </w:p>
    <w:p>
      <w:r>
        <w:drawing>
          <wp:inline xmlns:a="http://schemas.openxmlformats.org/drawingml/2006/main" xmlns:pic="http://schemas.openxmlformats.org/drawingml/2006/picture">
            <wp:extent cx="5739204" cy="44348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5-cliente-filtri-temi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9204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A05, punto 1: Lista temi derivati dagli interessi.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A05, punto 2: Singolo tema attivabile/rimuovibile.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A05, punto 3: Le modifiche aggiornano consigli e catalogo.</w:t>
      </w:r>
    </w:p>
    <w:p/>
    <w:p>
      <w:r>
        <w:rPr>
          <w:rFonts w:ascii="Nunito" w:hAnsi="Nunito" w:cs="Nunito" w:eastAsia="Nunito"/>
          <w:b/>
          <w:color w:val="444748"/>
          <w:sz w:val="21"/>
        </w:rPr>
        <w:t>Figura A06 - Cliente - workshop e preventivo</w:t>
      </w:r>
    </w:p>
    <w:p>
      <w:r>
        <w:drawing>
          <wp:inline xmlns:a="http://schemas.openxmlformats.org/drawingml/2006/main" xmlns:pic="http://schemas.openxmlformats.org/drawingml/2006/picture">
            <wp:extent cx="5897880" cy="4095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6-cliente-workshop-preventiv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A06, punto 1: Workshop selezionati/percorso.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A06, punto 2: Catalogo filtrabile.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A06, punto 3: Preventivo aggiornato in tempo reale.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A06, punto 4: CTA nel bottom sheet fisso.</w:t>
      </w:r>
    </w:p>
    <w:p>
      <w:r>
        <w:rPr>
          <w:rFonts w:ascii="Nunito" w:hAnsi="Nunito" w:cs="Nunito" w:eastAsia="Nunito"/>
          <w:b/>
          <w:color w:val="444748"/>
          <w:sz w:val="21"/>
        </w:rPr>
        <w:t>Figura A07 - Cliente - card workshop</w:t>
      </w:r>
    </w:p>
    <w:p>
      <w:r>
        <w:drawing>
          <wp:inline xmlns:a="http://schemas.openxmlformats.org/drawingml/2006/main" xmlns:pic="http://schemas.openxmlformats.org/drawingml/2006/picture">
            <wp:extent cx="5897880" cy="42970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7-cliente-catalogo-c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97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A07, punto 1: Titolo e classificazione del workshop.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A07, punto 2: Durata/formato/prezzo esposti nella card.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A07, punto 3: Aggiunta o rimozione dal percorso.</w:t>
      </w:r>
    </w:p>
    <w:p>
      <w:r>
        <w:rPr>
          <w:rFonts w:ascii="Nunito" w:hAnsi="Nunito" w:cs="Nunito" w:eastAsia="Nunito"/>
          <w:b/>
          <w:color w:val="444748"/>
          <w:sz w:val="21"/>
        </w:rPr>
        <w:t>Figura A08 - Cliente - prezzo e sconti</w:t>
      </w:r>
    </w:p>
    <w:p>
      <w:r>
        <w:drawing>
          <wp:inline xmlns:a="http://schemas.openxmlformats.org/drawingml/2006/main" xmlns:pic="http://schemas.openxmlformats.org/drawingml/2006/picture">
            <wp:extent cx="5669280" cy="10752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8-cliente-prezzo-sconti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5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A08, punto 1: Totale preventivo corrente.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A08, punto 2: Soglie/sconti o note commerciali.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A08, punto 3: Azione primaria sempre raggiungibile nel footer fisso.</w:t>
      </w:r>
    </w:p>
    <w:p>
      <w:r>
        <w:rPr>
          <w:rFonts w:ascii="Nunito" w:hAnsi="Nunito" w:cs="Nunito" w:eastAsia="Nunito"/>
          <w:b/>
          <w:color w:val="444748"/>
          <w:sz w:val="21"/>
        </w:rPr>
        <w:t>Figura A09 - Cliente - scelta date</w:t>
      </w:r>
    </w:p>
    <w:p>
      <w:r>
        <w:drawing>
          <wp:inline xmlns:a="http://schemas.openxmlformats.org/drawingml/2006/main" xmlns:pic="http://schemas.openxmlformats.org/drawingml/2006/picture">
            <wp:extent cx="5897880" cy="4095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9-cliente-date-pick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A09, punto 1: Mese corrente dinamico, non hardcoded.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A09, punto 2: Navigazione mese precedente/successivo.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A09, punto 3: Griglia date selezionabile.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A09, punto 4: Conferma o chiusura della proposta.</w:t>
      </w:r>
    </w:p>
    <w:p>
      <w:r>
        <w:rPr>
          <w:rFonts w:ascii="Nunito" w:hAnsi="Nunito" w:cs="Nunito" w:eastAsia="Nunito"/>
          <w:b/>
          <w:color w:val="444748"/>
          <w:sz w:val="21"/>
        </w:rPr>
        <w:t>Figura A10 - Cliente - dettagli calendario</w:t>
      </w:r>
    </w:p>
    <w:p>
      <w:r>
        <w:drawing>
          <wp:inline xmlns:a="http://schemas.openxmlformats.org/drawingml/2006/main" xmlns:pic="http://schemas.openxmlformats.org/drawingml/2006/picture">
            <wp:extent cx="3932782" cy="44348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0-cliente-date-picker-closeu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2782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A10, punto 1: Comandi mese.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A10, punto 2: Comando Adesso: usa la data corrente del browser.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A10, punto 3: Giorno selezionato/available.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A10, punto 4: Pulsanti di conferma e annullamento.</w:t>
      </w:r>
    </w:p>
    <w:p/>
    <w:p>
      <w:r>
        <w:rPr>
          <w:rFonts w:ascii="Nunito" w:hAnsi="Nunito" w:cs="Nunito" w:eastAsia="Nunito"/>
          <w:b/>
          <w:color w:val="444748"/>
          <w:sz w:val="21"/>
        </w:rPr>
        <w:t>Figura A11 - Bottom action bar / fixed bottom sheet</w:t>
      </w:r>
    </w:p>
    <w:p>
      <w:r>
        <w:drawing>
          <wp:inline xmlns:a="http://schemas.openxmlformats.org/drawingml/2006/main" xmlns:pic="http://schemas.openxmlformats.org/drawingml/2006/picture">
            <wp:extent cx="5669280" cy="984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1-bottom-sheet-fiss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8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A11, punto 1: Contesto operativo dello step.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A11, punto 2: Dettaglio o conteggio selezioni.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A11, punto 3: Back/secondaria quando previste.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A11, punto 4: CTA primaria; se disabilitata mostra hint sotto.</w:t>
      </w:r>
    </w:p>
    <w:p>
      <w:r>
        <w:rPr>
          <w:rFonts w:ascii="Nunito" w:hAnsi="Nunito" w:cs="Nunito" w:eastAsia="Nunito"/>
          <w:b/>
          <w:color w:val="444748"/>
          <w:sz w:val="21"/>
        </w:rPr>
        <w:t>Figura A12 - Bottom sheet disabilitato</w:t>
      </w:r>
    </w:p>
    <w:p>
      <w:r>
        <w:drawing>
          <wp:inline xmlns:a="http://schemas.openxmlformats.org/drawingml/2006/main" xmlns:pic="http://schemas.openxmlformats.org/drawingml/2006/picture">
            <wp:extent cx="5669280" cy="154330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2-bottom-sheet-disabl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43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A12, punto 1: Riepilogo stato non pronto.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A12, punto 2: Messaggio/hint operativo.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A12, punto 3: CTA non cliccabile finche mancano prerequisiti.</w:t>
      </w:r>
    </w:p>
    <w:p/>
    <w:p>
      <w:r>
        <w:rPr>
          <w:rFonts w:ascii="Nunito" w:hAnsi="Nunito" w:cs="Nunito" w:eastAsia="Nunito"/>
          <w:b/>
          <w:color w:val="444748"/>
          <w:sz w:val="21"/>
        </w:rPr>
        <w:t>Figura A13 - FunniFin - coda operativa</w:t>
      </w:r>
    </w:p>
    <w:p>
      <w:r>
        <w:drawing>
          <wp:inline xmlns:a="http://schemas.openxmlformats.org/drawingml/2006/main" xmlns:pic="http://schemas.openxmlformats.org/drawingml/2006/picture">
            <wp:extent cx="5321808" cy="44348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3-funnifin-cod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21808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A13, punto 1: Ruolo attivo e impersonificazione.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A13, punto 2: Moduli sistema/health.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A13, punto 3: Filtri coda progetti.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A13, punto 4: Azione primaria nel footer.</w:t>
      </w:r>
    </w:p>
    <w:p>
      <w:r>
        <w:rPr>
          <w:rFonts w:ascii="Nunito" w:hAnsi="Nunito" w:cs="Nunito" w:eastAsia="Nunito"/>
          <w:b/>
          <w:color w:val="444748"/>
          <w:sz w:val="21"/>
        </w:rPr>
        <w:t>Figura A14 - FunniFin - moduli sistema</w:t>
      </w:r>
    </w:p>
    <w:p>
      <w:r>
        <w:drawing>
          <wp:inline xmlns:a="http://schemas.openxmlformats.org/drawingml/2006/main" xmlns:pic="http://schemas.openxmlformats.org/drawingml/2006/picture">
            <wp:extent cx="5669280" cy="144134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4-funnifin-moduli-sistem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41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A14, punto 1: Richieste cliente.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A14, punto 2: Catalogo vendibile.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A14, punto 3: Regole prezzo.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A14, punto 4: Google backend e utenti/mail.</w:t>
      </w:r>
    </w:p>
    <w:p>
      <w:r>
        <w:rPr>
          <w:rFonts w:ascii="Nunito" w:hAnsi="Nunito" w:cs="Nunito" w:eastAsia="Nunito"/>
          <w:b/>
          <w:color w:val="444748"/>
          <w:sz w:val="21"/>
        </w:rPr>
        <w:t>Figura A15 - FunniFin - coda progetti</w:t>
      </w:r>
    </w:p>
    <w:p>
      <w:r>
        <w:drawing>
          <wp:inline xmlns:a="http://schemas.openxmlformats.org/drawingml/2006/main" xmlns:pic="http://schemas.openxmlformats.org/drawingml/2006/picture">
            <wp:extent cx="5897880" cy="176936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5-funnifin-coda-progetti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69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A15, punto 1: Card progetto con stato e totale.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A15, punto 2: Ricerca per azienda/referente.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A15, punto 3: Filtri Oggi/Da fissare/Produzione/Chiusi.</w:t>
      </w:r>
    </w:p>
    <w:p/>
    <w:p>
      <w:r>
        <w:rPr>
          <w:rFonts w:ascii="Nunito" w:hAnsi="Nunito" w:cs="Nunito" w:eastAsia="Nunito"/>
          <w:b/>
          <w:color w:val="444748"/>
          <w:sz w:val="21"/>
        </w:rPr>
        <w:t>Figura A16 - Centro notifiche</w:t>
      </w:r>
    </w:p>
    <w:p>
      <w:r>
        <w:drawing>
          <wp:inline xmlns:a="http://schemas.openxmlformats.org/drawingml/2006/main" xmlns:pic="http://schemas.openxmlformats.org/drawingml/2006/picture">
            <wp:extent cx="5321808" cy="44348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6-centro-notifich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21808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A16, punto 1: Bell/badge ruolo riservato.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A16, punto 2: Tab Da fare, Recenti, Critiche, Chiuse.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A16, punto 3: Filtri per priorita/categoria.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A16, punto 4: Azioni: apri progetto/verifica/archivia.</w:t>
      </w:r>
    </w:p>
    <w:p>
      <w:r>
        <w:rPr>
          <w:rFonts w:ascii="Nunito" w:hAnsi="Nunito" w:cs="Nunito" w:eastAsia="Nunito"/>
          <w:b/>
          <w:color w:val="444748"/>
          <w:sz w:val="21"/>
        </w:rPr>
        <w:t>Figura A17 - Notifiche - tab e filtri</w:t>
      </w:r>
    </w:p>
    <w:p>
      <w:r>
        <w:drawing>
          <wp:inline xmlns:a="http://schemas.openxmlformats.org/drawingml/2006/main" xmlns:pic="http://schemas.openxmlformats.org/drawingml/2006/picture">
            <wp:extent cx="5669280" cy="154616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7-notifiche-tabs-filtri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4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A17, punto 1: Tab con conteggi per stato.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A17, punto 2: Chip filtro Tutte/Critiche/Task/Mail/Sistema.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A17, punto 3: La lista cambia senza uscire dal pannello.</w:t>
      </w:r>
    </w:p>
    <w:p>
      <w:r>
        <w:rPr>
          <w:rFonts w:ascii="Nunito" w:hAnsi="Nunito" w:cs="Nunito" w:eastAsia="Nunito"/>
          <w:b/>
          <w:color w:val="444748"/>
          <w:sz w:val="21"/>
        </w:rPr>
        <w:t>Figura A18 - Notifiche - singola notifica</w:t>
      </w:r>
    </w:p>
    <w:p>
      <w:r>
        <w:drawing>
          <wp:inline xmlns:a="http://schemas.openxmlformats.org/drawingml/2006/main" xmlns:pic="http://schemas.openxmlformats.org/drawingml/2006/picture">
            <wp:extent cx="5669280" cy="44094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8-notifiche-azioni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A18, punto 1: Priorita e categoria visiva.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A18, punto 2: Titolo/corpo della notifica.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A18, punto 3: Azione contestuale con routing.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A18, punto 4: Archivia/Riapri senza cancellare storico.</w:t>
      </w:r>
    </w:p>
    <w:p/>
    <w:p>
      <w:r>
        <w:rPr>
          <w:rFonts w:ascii="Nunito" w:hAnsi="Nunito" w:cs="Nunito" w:eastAsia="Nunito"/>
          <w:b/>
          <w:color w:val="444748"/>
          <w:sz w:val="21"/>
        </w:rPr>
        <w:t>Figura A19 - Google backend</w:t>
      </w:r>
    </w:p>
    <w:p>
      <w:r>
        <w:drawing>
          <wp:inline xmlns:a="http://schemas.openxmlformats.org/drawingml/2006/main" xmlns:pic="http://schemas.openxmlformats.org/drawingml/2006/picture">
            <wp:extent cx="5321808" cy="44348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9-google-backen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21808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A19, punto 1: Stato Google Sheets.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A19, punto 2: Stato Drive/materiali.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A19, punto 3: Calendar/Meet.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A19, punto 4: MailApp, quota e destinatari.</w:t>
      </w:r>
    </w:p>
    <w:p>
      <w:r>
        <w:rPr>
          <w:rFonts w:ascii="Nunito" w:hAnsi="Nunito" w:cs="Nunito" w:eastAsia="Nunito"/>
          <w:b/>
          <w:color w:val="444748"/>
          <w:sz w:val="21"/>
        </w:rPr>
        <w:t>Figura A20 - Mail backend</w:t>
      </w:r>
    </w:p>
    <w:p>
      <w:r>
        <w:drawing>
          <wp:inline xmlns:a="http://schemas.openxmlformats.org/drawingml/2006/main" xmlns:pic="http://schemas.openxmlformats.org/drawingml/2006/picture">
            <wp:extent cx="5897880" cy="372497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20-mail-backend-closeu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24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A20, punto 1: Configurazione MailApp e quota.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A20, punto 2: Errori o stato invio.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A20, punto 3: Link/verifica impostazioni Google.</w:t>
      </w:r>
    </w:p>
    <w:p/>
    <w:p>
      <w:r>
        <w:rPr>
          <w:rFonts w:ascii="Nunito" w:hAnsi="Nunito" w:cs="Nunito" w:eastAsia="Nunito"/>
          <w:b/>
          <w:color w:val="444748"/>
          <w:sz w:val="21"/>
        </w:rPr>
        <w:t>Figura A21 - Esperto - dashboard</w:t>
      </w:r>
    </w:p>
    <w:p>
      <w:r>
        <w:drawing>
          <wp:inline xmlns:a="http://schemas.openxmlformats.org/drawingml/2006/main" xmlns:pic="http://schemas.openxmlformats.org/drawingml/2006/picture">
            <wp:extent cx="5897880" cy="40957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21-esperto-dashboar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A21, punto 1: Ruolo Esperto attivo.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A21, punto 2: Opportunita/candidature.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A21, punto 3: Incarichi o deck da gestire.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A21, punto 4: Bottom bar con azione primaria.</w:t>
      </w:r>
    </w:p>
    <w:p>
      <w:r>
        <w:rPr>
          <w:rFonts w:ascii="Nunito" w:hAnsi="Nunito" w:cs="Nunito" w:eastAsia="Nunito"/>
          <w:b/>
          <w:color w:val="444748"/>
          <w:sz w:val="21"/>
        </w:rPr>
        <w:t>Figura A22 - Esperto - candidatura</w:t>
      </w:r>
    </w:p>
    <w:p>
      <w:r>
        <w:drawing>
          <wp:inline xmlns:a="http://schemas.openxmlformats.org/drawingml/2006/main" xmlns:pic="http://schemas.openxmlformats.org/drawingml/2006/picture">
            <wp:extent cx="5897880" cy="262917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22-esperto-candidature-closeu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29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A22, punto 1: Workshop disponibile o assegnato.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A22, punto 2: Dettagli data/formato/materiali.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A22, punto 3: Invio candidatura o upload deck.</w:t>
      </w:r>
    </w:p>
    <w:p/>
    <w:p>
      <w:r>
        <w:rPr>
          <w:rFonts w:ascii="Nunito" w:hAnsi="Nunito" w:cs="Nunito" w:eastAsia="Nunito"/>
          <w:b/>
          <w:color w:val="444748"/>
          <w:sz w:val="21"/>
        </w:rPr>
        <w:t>Figura A23 - Brand - revisione materiali</w:t>
      </w:r>
    </w:p>
    <w:p>
      <w:r>
        <w:drawing>
          <wp:inline xmlns:a="http://schemas.openxmlformats.org/drawingml/2006/main" xmlns:pic="http://schemas.openxmlformats.org/drawingml/2006/picture">
            <wp:extent cx="3771122" cy="44348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23-brand-dashboar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71122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A23, punto 1: Ruolo Brand attivo.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A23, punto 2: Coda progetti in revisione.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A23, punto 3: Deck/versioni e stato review.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A23, punto 4: Bottom bar e azione finale.</w:t>
      </w:r>
    </w:p>
    <w:p>
      <w:r>
        <w:rPr>
          <w:rFonts w:ascii="Nunito" w:hAnsi="Nunito" w:cs="Nunito" w:eastAsia="Nunito"/>
          <w:b/>
          <w:color w:val="444748"/>
          <w:sz w:val="21"/>
        </w:rPr>
        <w:t>Figura A24 - Brand - azioni deck</w:t>
      </w:r>
    </w:p>
    <w:p>
      <w:r>
        <w:drawing>
          <wp:inline xmlns:a="http://schemas.openxmlformats.org/drawingml/2006/main" xmlns:pic="http://schemas.openxmlformats.org/drawingml/2006/picture">
            <wp:extent cx="5897880" cy="270319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24-brand-azioni-deck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0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A24, punto 1: Tab Revisioni/Da correggere/Approvate/Storico.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A24, punto 2: Deck selezionato.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A24, punto 3: Approva o richiedi modifiche.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A24, punto 4: Abilita deck per Calendar quando definitivo.</w:t>
      </w:r>
    </w:p>
    <w:p/>
    <w:p>
      <w:r>
        <w:rPr>
          <w:rFonts w:ascii="Nunito" w:hAnsi="Nunito" w:cs="Nunito" w:eastAsia="Nunito"/>
          <w:b/>
          <w:color w:val="444748"/>
          <w:sz w:val="21"/>
        </w:rPr>
        <w:t>Figura A25 - Email richiesta cliente</w:t>
      </w:r>
    </w:p>
    <w:p>
      <w:r>
        <w:drawing>
          <wp:inline xmlns:a="http://schemas.openxmlformats.org/drawingml/2006/main" xmlns:pic="http://schemas.openxmlformats.org/drawingml/2006/picture">
            <wp:extent cx="5897880" cy="335851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25-email-richiesta-client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58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A25, punto 1: Invio Cliente.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A25, punto 2: Apps Script action sendWorkshopRequestEmail.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A25, punto 3: Destinatari cliente + FunniFin CC.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A25, punto 4: Consegna tracciata e stato invio documentato.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A25, punto 5: Presa in carico FunniFin.</w:t>
      </w:r>
    </w:p>
    <w:p>
      <w:r>
        <w:rPr>
          <w:rFonts w:ascii="Nunito" w:hAnsi="Nunito" w:cs="Nunito" w:eastAsia="Nunito"/>
          <w:b/>
          <w:color w:val="444748"/>
          <w:sz w:val="21"/>
        </w:rPr>
        <w:t>Figura A26 - Email workflow</w:t>
      </w:r>
    </w:p>
    <w:p>
      <w:r>
        <w:drawing>
          <wp:inline xmlns:a="http://schemas.openxmlformats.org/drawingml/2006/main" xmlns:pic="http://schemas.openxmlformats.org/drawingml/2006/picture">
            <wp:extent cx="5897880" cy="335851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26-email-workflow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58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A26, punto 1: Modale operativa FunniFin.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A26, punto 2: Toggle notifica e destinatari.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A26, punto 3: sendWorkflowNotification.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A26, punto 4: Invio e stato consegna.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A26, punto 5: Notifica persistente per ruoli coinvolti.</w:t>
      </w:r>
    </w:p>
    <w:p>
      <w:r>
        <w:rPr>
          <w:rFonts w:ascii="Nunito" w:hAnsi="Nunito" w:cs="Nunito" w:eastAsia="Nunito"/>
          <w:b/>
          <w:color w:val="444748"/>
          <w:sz w:val="21"/>
        </w:rPr>
        <w:t>Figura A27 - Matrice notifiche</w:t>
      </w:r>
    </w:p>
    <w:p>
      <w:r>
        <w:drawing>
          <wp:inline xmlns:a="http://schemas.openxmlformats.org/drawingml/2006/main" xmlns:pic="http://schemas.openxmlformats.org/drawingml/2006/picture">
            <wp:extent cx="5897880" cy="335851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27-notifiche-matric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58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A27, punto 1: Toast locale.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A27, punto 2: Notifica persistente con audience.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A27, punto 3: Scoping utente/email.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A27, punto 4: Lettura automatica.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A27, punto 5: Action routing.</w:t>
      </w:r>
    </w:p>
    <w:p>
      <w:r>
        <w:rPr>
          <w:rFonts w:ascii="Nunito" w:hAnsi="Nunito" w:cs="Nunito" w:eastAsia="Nunito"/>
          <w:b/>
          <w:color w:val="444748"/>
          <w:sz w:val="21"/>
        </w:rPr>
        <w:t>Figura A28 - Controlli operativi</w:t>
      </w:r>
    </w:p>
    <w:p>
      <w:r>
        <w:drawing>
          <wp:inline xmlns:a="http://schemas.openxmlformats.org/drawingml/2006/main" xmlns:pic="http://schemas.openxmlformats.org/drawingml/2006/picture">
            <wp:extent cx="5897880" cy="335851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28-test-copertura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58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A28, punto 1: Build applicazione.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A28, punto 2: Verifica locale.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A28, punto 3: Verifica ambiente live.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A28, punto 4: Controlli manuali.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Figura A28, punto 5: Controllo notifiche.</w:t>
      </w:r>
    </w:p>
    <w:p/>
    <w:p>
      <w:pPr>
        <w:pStyle w:val="Heading1"/>
      </w:pPr>
      <w:r>
        <w:t>15. Checklist operativa manuale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Cliente parte senza interessi o temi preselezionati; "Vedi consigli" resta guidato dallo stato reale.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Bottom sheet fisso resta leggibile, non copre modali e disabilita la CTA con hint quando mancano prerequisiti.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Date picker usa mese/data corrente del browser; "Adesso" seleziona oggi e non una data hardcoded.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Centro notifiche appare solo per FunniFin, Esperto e Brand; Cliente vede solo toast locali.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Tab notifiche Da fare/Recenti/Critiche/Chiuse e filtri Tutte/Critiche/Task/Mail/Sistema funzionano su audience visibile.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Archivia, Riapri, Svuota archivio e action routing mantengono read state e scoping utente/email.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Mail richiesta Cliente ha oggetto corretto, cliente in TO e FunniFin in CC; lo stato invio deve essere chiaro.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Mail workflow usa destinatari della modale e genera notifica task/mail ai ruoli coinvolti.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FunniFin può verificare coda, Date, Esperti, Cartella, Conferma, Google backend, Prezzi, Catalogo e Utenti.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Esperto può vedere opportunità/incarichi, candidarsi, caricare/selezionare deck e inviare a Brand.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Brand può vedere coda, revisionare deck, approvare, chiedere modifiche, caricare nuova versione e abilitare deck Calendar.</w:t>
      </w:r>
    </w:p>
    <w:sectPr w:rsidR="00FC693F" w:rsidRPr="0006063C" w:rsidSect="00034616">
      <w:footerReference w:type="default" r:id="rId9"/>
      <w:headerReference w:type="default" r:id="rId21"/>
      <w:headerReference w:type="first" r:id="rId50"/>
      <w:footerReference w:type="first" r:id="rId51"/>
      <w:headerReference w:type="even" r:id="rId52"/>
      <w:footerReference w:type="even" r:id="rId53"/>
      <w:pgSz w:w="12240" w:h="15840"/>
      <w:pgMar w:top="893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FunniFin Workshop Planner · Manuale Operators v2.2 · 19 giugno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Nunito" w:hAnsi="Nunito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Nunito" w:hAnsi="Nunito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Nunito" w:hAnsi="Nunito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Nunito" w:hAnsi="Nunito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Nunit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unito" w:hAnsi="Nunito" w:cs="Nunito" w:eastAsia="Nunito"/>
        <w:sz w:val="22"/>
        <w:szCs w:val="22"/>
        <w:lang w:val="en-US" w:eastAsia="Nunit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unito" w:hAnsi="Nunito" w:eastAsia="Nunito" w:cs="Nunito"/>
      <w:b w:val="0"/>
      <w:i w:val="0"/>
      <w:color w:val="171D1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="Nunito" w:hAnsi="Nunito" w:eastAsia="Nunito" w:cs="Nunito"/>
      <w:b/>
      <w:bCs/>
      <w:i w:val="0"/>
      <w:color w:val="004F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="Nunito" w:hAnsi="Nunito" w:eastAsia="Nunito" w:cs="Nunito"/>
      <w:b/>
      <w:bCs/>
      <w:i w:val="0"/>
      <w:color w:val="004F5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="Nunito" w:hAnsi="Nunito" w:eastAsia="Nunito" w:cs="Nunito"/>
      <w:b/>
      <w:bCs/>
      <w:i w:val="0"/>
      <w:color w:val="4447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unito" w:hAnsi="Nunito" w:cs="Nunito" w:eastAsia="Nuni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unito" w:hAnsi="Nunito" w:cs="Nunito" w:eastAsia="Nuni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unito" w:hAnsi="Nunito" w:cs="Nunito" w:eastAsia="Nuni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unito" w:hAnsi="Nunito" w:cs="Nunito" w:eastAsia="Nuni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unito" w:hAnsi="Nunito" w:cs="Nunito" w:eastAsia="Nuni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unito" w:hAnsi="Nunito" w:cs="Nunito" w:eastAsia="Nuni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unito" w:hAnsi="Nunito" w:cs="Nunito" w:eastAsia="Nunito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unito" w:hAnsi="Nunito" w:cs="Nunito" w:eastAsia="Nunito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unito" w:hAnsi="Nunito" w:cs="Nunito" w:eastAsia="Nunito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44748" w:themeColor="accent1"/>
      </w:pBdr>
      <w:spacing w:after="80" w:line="240" w:lineRule="auto" w:before="140"/>
      <w:contextualSpacing/>
    </w:pPr>
    <w:rPr>
      <w:rFonts w:ascii="Nunito" w:hAnsi="Nunito" w:eastAsia="Nunito" w:cs="Nunito"/>
      <w:b/>
      <w:i w:val="0"/>
      <w:color w:val="004F5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unito" w:hAnsi="Nunito" w:cs="Nunito" w:eastAsia="Nunito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40" w:after="80"/>
    </w:pPr>
    <w:rPr>
      <w:rFonts w:ascii="Nunito" w:hAnsi="Nunito" w:eastAsia="Nunito" w:cs="Nunito"/>
      <w:b w:val="0"/>
      <w:i w:val="0"/>
      <w:iCs/>
      <w:color w:val="74787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unito" w:hAnsi="Nunito" w:cs="Nunito" w:eastAsia="Nunito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Nunito" w:hAnsi="Nunito" w:eastAsia="Nunito" w:cs="Nunito"/>
      <w:b w:val="0"/>
      <w:i w:val="0"/>
      <w:color w:val="171D1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Nunito" w:hAnsi="Nunito" w:eastAsia="Nunito" w:cs="Nunito"/>
      <w:b w:val="0"/>
      <w:i w:val="0"/>
      <w:color w:val="171D1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unito" w:hAnsi="Nunito" w:cs="Nunito" w:eastAsia="Nunit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unito" w:hAnsi="Nunito" w:cs="Nunito" w:eastAsia="Nunito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unito" w:hAnsi="Nunito" w:cs="Nunito" w:eastAsia="Nunito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unito" w:hAnsi="Nunito" w:cs="Nunito" w:eastAsia="Nunito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unito" w:hAnsi="Nunito" w:cs="Nunito" w:eastAsia="Nunito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unito" w:hAnsi="Nunito" w:cs="Nunito" w:eastAsia="Nunito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unito" w:hAnsi="Nunito" w:cs="Nunito" w:eastAsia="Nunito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unito" w:hAnsi="Nunito" w:cs="Nunito" w:eastAsia="Nunito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44748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44748" w:themeColor="accent1"/>
        <w:bottom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1"/>
          <w:left w:val="nil"/>
          <w:bottom w:val="single" w:sz="8" w:space="0" w:color="44474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1"/>
          <w:left w:val="nil"/>
          <w:bottom w:val="single" w:sz="8" w:space="0" w:color="44474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444748" w:themeColor="accent2"/>
        <w:bottom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2"/>
          <w:left w:val="nil"/>
          <w:bottom w:val="single" w:sz="8" w:space="0" w:color="44474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2"/>
          <w:left w:val="nil"/>
          <w:bottom w:val="single" w:sz="8" w:space="0" w:color="44474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444748" w:themeColor="accent3"/>
        <w:bottom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3"/>
          <w:left w:val="nil"/>
          <w:bottom w:val="single" w:sz="8" w:space="0" w:color="44474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3"/>
          <w:left w:val="nil"/>
          <w:bottom w:val="single" w:sz="8" w:space="0" w:color="44474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444748" w:themeColor="accent4"/>
        <w:bottom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4"/>
          <w:left w:val="nil"/>
          <w:bottom w:val="single" w:sz="8" w:space="0" w:color="44474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4"/>
          <w:left w:val="nil"/>
          <w:bottom w:val="single" w:sz="8" w:space="0" w:color="44474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44748" w:themeColor="accent5"/>
        <w:bottom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5"/>
          <w:left w:val="nil"/>
          <w:bottom w:val="single" w:sz="8" w:space="0" w:color="44474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5"/>
          <w:left w:val="nil"/>
          <w:bottom w:val="single" w:sz="8" w:space="0" w:color="44474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444748" w:themeColor="accent6"/>
        <w:bottom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6"/>
          <w:left w:val="nil"/>
          <w:bottom w:val="single" w:sz="8" w:space="0" w:color="44474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6"/>
          <w:left w:val="nil"/>
          <w:bottom w:val="single" w:sz="8" w:space="0" w:color="44474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1"/>
        <w:left w:val="single" w:sz="8" w:space="0" w:color="444748" w:themeColor="accent1"/>
        <w:bottom w:val="single" w:sz="8" w:space="0" w:color="444748" w:themeColor="accent1"/>
        <w:right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</w:tcBorders>
      </w:tcPr>
    </w:tblStylePr>
    <w:tblStylePr w:type="band1Horz"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2"/>
        <w:left w:val="single" w:sz="8" w:space="0" w:color="444748" w:themeColor="accent2"/>
        <w:bottom w:val="single" w:sz="8" w:space="0" w:color="444748" w:themeColor="accent2"/>
        <w:right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</w:tcBorders>
      </w:tcPr>
    </w:tblStylePr>
    <w:tblStylePr w:type="band1Horz"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3"/>
        <w:left w:val="single" w:sz="8" w:space="0" w:color="444748" w:themeColor="accent3"/>
        <w:bottom w:val="single" w:sz="8" w:space="0" w:color="444748" w:themeColor="accent3"/>
        <w:right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</w:tcBorders>
      </w:tcPr>
    </w:tblStylePr>
    <w:tblStylePr w:type="band1Horz"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4"/>
        <w:left w:val="single" w:sz="8" w:space="0" w:color="444748" w:themeColor="accent4"/>
        <w:bottom w:val="single" w:sz="8" w:space="0" w:color="444748" w:themeColor="accent4"/>
        <w:right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</w:tcBorders>
      </w:tcPr>
    </w:tblStylePr>
    <w:tblStylePr w:type="band1Horz"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5"/>
        <w:left w:val="single" w:sz="8" w:space="0" w:color="444748" w:themeColor="accent5"/>
        <w:bottom w:val="single" w:sz="8" w:space="0" w:color="444748" w:themeColor="accent5"/>
        <w:right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</w:tcBorders>
      </w:tcPr>
    </w:tblStylePr>
    <w:tblStylePr w:type="band1Horz"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6"/>
        <w:left w:val="single" w:sz="8" w:space="0" w:color="444748" w:themeColor="accent6"/>
        <w:bottom w:val="single" w:sz="8" w:space="0" w:color="444748" w:themeColor="accent6"/>
        <w:right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</w:tcBorders>
      </w:tcPr>
    </w:tblStylePr>
    <w:tblStylePr w:type="band1Horz"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4F4F4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F4F4F4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1"/>
        <w:left w:val="single" w:sz="8" w:space="0" w:color="444748" w:themeColor="accent1"/>
        <w:bottom w:val="single" w:sz="8" w:space="0" w:color="444748" w:themeColor="accent1"/>
        <w:right w:val="single" w:sz="8" w:space="0" w:color="444748" w:themeColor="accent1"/>
        <w:insideH w:val="single" w:sz="8" w:space="0" w:color="444748" w:themeColor="accent1"/>
        <w:insideV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18" w:space="0" w:color="444748" w:themeColor="accent1"/>
          <w:right w:val="single" w:sz="8" w:space="0" w:color="444748" w:themeColor="accent1"/>
          <w:insideH w:val="nil"/>
          <w:insideV w:val="single" w:sz="8" w:space="0" w:color="444748" w:themeColor="accent1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  <w:insideH w:val="nil"/>
          <w:insideV w:val="single" w:sz="8" w:space="0" w:color="444748" w:themeColor="accent1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</w:tcBorders>
      </w:tcPr>
    </w:tblStylePr>
    <w:tblStylePr w:type="band1Vert"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</w:tcBorders>
        <w:shd w:val="clear" w:color="auto" w:fill="F4F4F4" w:themeFill="accent1" w:themeFillTint="3F"/>
      </w:tcPr>
    </w:tblStylePr>
    <w:tblStylePr w:type="band1Horz"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  <w:insideV w:val="single" w:sz="8" w:space="0" w:color="444748" w:themeColor="accent1"/>
        </w:tcBorders>
        <w:shd w:val="clear" w:color="auto" w:fill="F4F4F4" w:themeFill="accent1" w:themeFillTint="3F"/>
      </w:tcPr>
    </w:tblStylePr>
    <w:tblStylePr w:type="band2Horz"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  <w:insideV w:val="single" w:sz="8" w:space="0" w:color="444748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2"/>
        <w:left w:val="single" w:sz="8" w:space="0" w:color="444748" w:themeColor="accent2"/>
        <w:bottom w:val="single" w:sz="8" w:space="0" w:color="444748" w:themeColor="accent2"/>
        <w:right w:val="single" w:sz="8" w:space="0" w:color="444748" w:themeColor="accent2"/>
        <w:insideH w:val="single" w:sz="8" w:space="0" w:color="444748" w:themeColor="accent2"/>
        <w:insideV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18" w:space="0" w:color="444748" w:themeColor="accent2"/>
          <w:right w:val="single" w:sz="8" w:space="0" w:color="444748" w:themeColor="accent2"/>
          <w:insideH w:val="nil"/>
          <w:insideV w:val="single" w:sz="8" w:space="0" w:color="444748" w:themeColor="accent2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  <w:insideH w:val="nil"/>
          <w:insideV w:val="single" w:sz="8" w:space="0" w:color="444748" w:themeColor="accent2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</w:tcBorders>
      </w:tcPr>
    </w:tblStylePr>
    <w:tblStylePr w:type="band1Vert"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</w:tcBorders>
        <w:shd w:val="clear" w:color="auto" w:fill="F4F4F4" w:themeFill="accent2" w:themeFillTint="3F"/>
      </w:tcPr>
    </w:tblStylePr>
    <w:tblStylePr w:type="band1Horz"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  <w:insideV w:val="single" w:sz="8" w:space="0" w:color="444748" w:themeColor="accent2"/>
        </w:tcBorders>
        <w:shd w:val="clear" w:color="auto" w:fill="F4F4F4" w:themeFill="accent2" w:themeFillTint="3F"/>
      </w:tcPr>
    </w:tblStylePr>
    <w:tblStylePr w:type="band2Horz"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  <w:insideV w:val="single" w:sz="8" w:space="0" w:color="444748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3"/>
        <w:left w:val="single" w:sz="8" w:space="0" w:color="444748" w:themeColor="accent3"/>
        <w:bottom w:val="single" w:sz="8" w:space="0" w:color="444748" w:themeColor="accent3"/>
        <w:right w:val="single" w:sz="8" w:space="0" w:color="444748" w:themeColor="accent3"/>
        <w:insideH w:val="single" w:sz="8" w:space="0" w:color="444748" w:themeColor="accent3"/>
        <w:insideV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18" w:space="0" w:color="444748" w:themeColor="accent3"/>
          <w:right w:val="single" w:sz="8" w:space="0" w:color="444748" w:themeColor="accent3"/>
          <w:insideH w:val="nil"/>
          <w:insideV w:val="single" w:sz="8" w:space="0" w:color="444748" w:themeColor="accent3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  <w:insideH w:val="nil"/>
          <w:insideV w:val="single" w:sz="8" w:space="0" w:color="444748" w:themeColor="accent3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</w:tcBorders>
      </w:tcPr>
    </w:tblStylePr>
    <w:tblStylePr w:type="band1Vert"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</w:tcBorders>
        <w:shd w:val="clear" w:color="auto" w:fill="F4F4F4" w:themeFill="accent3" w:themeFillTint="3F"/>
      </w:tcPr>
    </w:tblStylePr>
    <w:tblStylePr w:type="band1Horz"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  <w:insideV w:val="single" w:sz="8" w:space="0" w:color="444748" w:themeColor="accent3"/>
        </w:tcBorders>
        <w:shd w:val="clear" w:color="auto" w:fill="F4F4F4" w:themeFill="accent3" w:themeFillTint="3F"/>
      </w:tcPr>
    </w:tblStylePr>
    <w:tblStylePr w:type="band2Horz"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  <w:insideV w:val="single" w:sz="8" w:space="0" w:color="444748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4"/>
        <w:left w:val="single" w:sz="8" w:space="0" w:color="444748" w:themeColor="accent4"/>
        <w:bottom w:val="single" w:sz="8" w:space="0" w:color="444748" w:themeColor="accent4"/>
        <w:right w:val="single" w:sz="8" w:space="0" w:color="444748" w:themeColor="accent4"/>
        <w:insideH w:val="single" w:sz="8" w:space="0" w:color="444748" w:themeColor="accent4"/>
        <w:insideV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18" w:space="0" w:color="444748" w:themeColor="accent4"/>
          <w:right w:val="single" w:sz="8" w:space="0" w:color="444748" w:themeColor="accent4"/>
          <w:insideH w:val="nil"/>
          <w:insideV w:val="single" w:sz="8" w:space="0" w:color="444748" w:themeColor="accent4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  <w:insideH w:val="nil"/>
          <w:insideV w:val="single" w:sz="8" w:space="0" w:color="444748" w:themeColor="accent4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</w:tcBorders>
      </w:tcPr>
    </w:tblStylePr>
    <w:tblStylePr w:type="band1Vert"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</w:tcBorders>
        <w:shd w:val="clear" w:color="auto" w:fill="F4F4F4" w:themeFill="accent4" w:themeFillTint="3F"/>
      </w:tcPr>
    </w:tblStylePr>
    <w:tblStylePr w:type="band1Horz"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  <w:insideV w:val="single" w:sz="8" w:space="0" w:color="444748" w:themeColor="accent4"/>
        </w:tcBorders>
        <w:shd w:val="clear" w:color="auto" w:fill="F4F4F4" w:themeFill="accent4" w:themeFillTint="3F"/>
      </w:tcPr>
    </w:tblStylePr>
    <w:tblStylePr w:type="band2Horz"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  <w:insideV w:val="single" w:sz="8" w:space="0" w:color="444748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5"/>
        <w:left w:val="single" w:sz="8" w:space="0" w:color="444748" w:themeColor="accent5"/>
        <w:bottom w:val="single" w:sz="8" w:space="0" w:color="444748" w:themeColor="accent5"/>
        <w:right w:val="single" w:sz="8" w:space="0" w:color="444748" w:themeColor="accent5"/>
        <w:insideH w:val="single" w:sz="8" w:space="0" w:color="444748" w:themeColor="accent5"/>
        <w:insideV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18" w:space="0" w:color="444748" w:themeColor="accent5"/>
          <w:right w:val="single" w:sz="8" w:space="0" w:color="444748" w:themeColor="accent5"/>
          <w:insideH w:val="nil"/>
          <w:insideV w:val="single" w:sz="8" w:space="0" w:color="444748" w:themeColor="accent5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  <w:insideH w:val="nil"/>
          <w:insideV w:val="single" w:sz="8" w:space="0" w:color="444748" w:themeColor="accent5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</w:tcBorders>
      </w:tcPr>
    </w:tblStylePr>
    <w:tblStylePr w:type="band1Vert"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</w:tcBorders>
        <w:shd w:val="clear" w:color="auto" w:fill="F4F4F4" w:themeFill="accent5" w:themeFillTint="3F"/>
      </w:tcPr>
    </w:tblStylePr>
    <w:tblStylePr w:type="band1Horz"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  <w:insideV w:val="single" w:sz="8" w:space="0" w:color="444748" w:themeColor="accent5"/>
        </w:tcBorders>
        <w:shd w:val="clear" w:color="auto" w:fill="F4F4F4" w:themeFill="accent5" w:themeFillTint="3F"/>
      </w:tcPr>
    </w:tblStylePr>
    <w:tblStylePr w:type="band2Horz"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  <w:insideV w:val="single" w:sz="8" w:space="0" w:color="444748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6"/>
        <w:left w:val="single" w:sz="8" w:space="0" w:color="444748" w:themeColor="accent6"/>
        <w:bottom w:val="single" w:sz="8" w:space="0" w:color="444748" w:themeColor="accent6"/>
        <w:right w:val="single" w:sz="8" w:space="0" w:color="444748" w:themeColor="accent6"/>
        <w:insideH w:val="single" w:sz="8" w:space="0" w:color="444748" w:themeColor="accent6"/>
        <w:insideV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18" w:space="0" w:color="444748" w:themeColor="accent6"/>
          <w:right w:val="single" w:sz="8" w:space="0" w:color="444748" w:themeColor="accent6"/>
          <w:insideH w:val="nil"/>
          <w:insideV w:val="single" w:sz="8" w:space="0" w:color="444748" w:themeColor="accent6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  <w:insideH w:val="nil"/>
          <w:insideV w:val="single" w:sz="8" w:space="0" w:color="444748" w:themeColor="accent6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</w:tcBorders>
      </w:tcPr>
    </w:tblStylePr>
    <w:tblStylePr w:type="band1Vert"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</w:tcBorders>
        <w:shd w:val="clear" w:color="auto" w:fill="F4F4F4" w:themeFill="accent6" w:themeFillTint="3F"/>
      </w:tcPr>
    </w:tblStylePr>
    <w:tblStylePr w:type="band1Horz"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  <w:insideV w:val="single" w:sz="8" w:space="0" w:color="444748" w:themeColor="accent6"/>
        </w:tcBorders>
        <w:shd w:val="clear" w:color="auto" w:fill="F4F4F4" w:themeFill="accent6" w:themeFillTint="3F"/>
      </w:tcPr>
    </w:tblStylePr>
    <w:tblStylePr w:type="band2Horz"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  <w:insideV w:val="single" w:sz="8" w:space="0" w:color="444748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text1" w:themeTint="BF"/>
        <w:left w:val="single" w:sz="8" w:space="0" w:color="444748" w:themeColor="text1" w:themeTint="BF"/>
        <w:bottom w:val="single" w:sz="8" w:space="0" w:color="444748" w:themeColor="text1" w:themeTint="BF"/>
        <w:right w:val="single" w:sz="8" w:space="0" w:color="444748" w:themeColor="text1" w:themeTint="BF"/>
        <w:insideH w:val="single" w:sz="8" w:space="0" w:color="444748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text1" w:themeTint="BF"/>
          <w:left w:val="single" w:sz="8" w:space="0" w:color="444748" w:themeColor="text1" w:themeTint="BF"/>
          <w:bottom w:val="single" w:sz="8" w:space="0" w:color="444748" w:themeColor="text1" w:themeTint="BF"/>
          <w:right w:val="single" w:sz="8" w:space="0" w:color="444748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text1" w:themeTint="BF"/>
          <w:left w:val="single" w:sz="8" w:space="0" w:color="444748" w:themeColor="text1" w:themeTint="BF"/>
          <w:bottom w:val="single" w:sz="8" w:space="0" w:color="444748" w:themeColor="text1" w:themeTint="BF"/>
          <w:right w:val="single" w:sz="8" w:space="0" w:color="444748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1" w:themeTint="BF"/>
        <w:left w:val="single" w:sz="8" w:space="0" w:color="444748" w:themeColor="accent1" w:themeTint="BF"/>
        <w:bottom w:val="single" w:sz="8" w:space="0" w:color="444748" w:themeColor="accent1" w:themeTint="BF"/>
        <w:right w:val="single" w:sz="8" w:space="0" w:color="444748" w:themeColor="accent1" w:themeTint="BF"/>
        <w:insideH w:val="single" w:sz="8" w:space="0" w:color="444748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1" w:themeTint="BF"/>
          <w:left w:val="single" w:sz="8" w:space="0" w:color="444748" w:themeColor="accent1" w:themeTint="BF"/>
          <w:bottom w:val="single" w:sz="8" w:space="0" w:color="444748" w:themeColor="accent1" w:themeTint="BF"/>
          <w:right w:val="single" w:sz="8" w:space="0" w:color="444748" w:themeColor="accent1" w:themeTint="BF"/>
          <w:insideH w:val="nil"/>
          <w:insideV w:val="nil"/>
        </w:tcBorders>
        <w:shd w:val="clear" w:color="auto" w:fill="F4F4F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1" w:themeTint="BF"/>
          <w:left w:val="single" w:sz="8" w:space="0" w:color="444748" w:themeColor="accent1" w:themeTint="BF"/>
          <w:bottom w:val="single" w:sz="8" w:space="0" w:color="444748" w:themeColor="accent1" w:themeTint="BF"/>
          <w:right w:val="single" w:sz="8" w:space="0" w:color="44474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2" w:themeTint="BF"/>
        <w:left w:val="single" w:sz="8" w:space="0" w:color="444748" w:themeColor="accent2" w:themeTint="BF"/>
        <w:bottom w:val="single" w:sz="8" w:space="0" w:color="444748" w:themeColor="accent2" w:themeTint="BF"/>
        <w:right w:val="single" w:sz="8" w:space="0" w:color="444748" w:themeColor="accent2" w:themeTint="BF"/>
        <w:insideH w:val="single" w:sz="8" w:space="0" w:color="444748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2" w:themeTint="BF"/>
          <w:left w:val="single" w:sz="8" w:space="0" w:color="444748" w:themeColor="accent2" w:themeTint="BF"/>
          <w:bottom w:val="single" w:sz="8" w:space="0" w:color="444748" w:themeColor="accent2" w:themeTint="BF"/>
          <w:right w:val="single" w:sz="8" w:space="0" w:color="444748" w:themeColor="accent2" w:themeTint="BF"/>
          <w:insideH w:val="nil"/>
          <w:insideV w:val="nil"/>
        </w:tcBorders>
        <w:shd w:val="clear" w:color="auto" w:fill="F4F4F4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2" w:themeTint="BF"/>
          <w:left w:val="single" w:sz="8" w:space="0" w:color="444748" w:themeColor="accent2" w:themeTint="BF"/>
          <w:bottom w:val="single" w:sz="8" w:space="0" w:color="444748" w:themeColor="accent2" w:themeTint="BF"/>
          <w:right w:val="single" w:sz="8" w:space="0" w:color="44474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3" w:themeTint="BF"/>
        <w:left w:val="single" w:sz="8" w:space="0" w:color="444748" w:themeColor="accent3" w:themeTint="BF"/>
        <w:bottom w:val="single" w:sz="8" w:space="0" w:color="444748" w:themeColor="accent3" w:themeTint="BF"/>
        <w:right w:val="single" w:sz="8" w:space="0" w:color="444748" w:themeColor="accent3" w:themeTint="BF"/>
        <w:insideH w:val="single" w:sz="8" w:space="0" w:color="444748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3" w:themeTint="BF"/>
          <w:left w:val="single" w:sz="8" w:space="0" w:color="444748" w:themeColor="accent3" w:themeTint="BF"/>
          <w:bottom w:val="single" w:sz="8" w:space="0" w:color="444748" w:themeColor="accent3" w:themeTint="BF"/>
          <w:right w:val="single" w:sz="8" w:space="0" w:color="444748" w:themeColor="accent3" w:themeTint="BF"/>
          <w:insideH w:val="nil"/>
          <w:insideV w:val="nil"/>
        </w:tcBorders>
        <w:shd w:val="clear" w:color="auto" w:fill="F4F4F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3" w:themeTint="BF"/>
          <w:left w:val="single" w:sz="8" w:space="0" w:color="444748" w:themeColor="accent3" w:themeTint="BF"/>
          <w:bottom w:val="single" w:sz="8" w:space="0" w:color="444748" w:themeColor="accent3" w:themeTint="BF"/>
          <w:right w:val="single" w:sz="8" w:space="0" w:color="44474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4" w:themeTint="BF"/>
        <w:left w:val="single" w:sz="8" w:space="0" w:color="444748" w:themeColor="accent4" w:themeTint="BF"/>
        <w:bottom w:val="single" w:sz="8" w:space="0" w:color="444748" w:themeColor="accent4" w:themeTint="BF"/>
        <w:right w:val="single" w:sz="8" w:space="0" w:color="444748" w:themeColor="accent4" w:themeTint="BF"/>
        <w:insideH w:val="single" w:sz="8" w:space="0" w:color="444748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4" w:themeTint="BF"/>
          <w:left w:val="single" w:sz="8" w:space="0" w:color="444748" w:themeColor="accent4" w:themeTint="BF"/>
          <w:bottom w:val="single" w:sz="8" w:space="0" w:color="444748" w:themeColor="accent4" w:themeTint="BF"/>
          <w:right w:val="single" w:sz="8" w:space="0" w:color="444748" w:themeColor="accent4" w:themeTint="BF"/>
          <w:insideH w:val="nil"/>
          <w:insideV w:val="nil"/>
        </w:tcBorders>
        <w:shd w:val="clear" w:color="auto" w:fill="F4F4F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4" w:themeTint="BF"/>
          <w:left w:val="single" w:sz="8" w:space="0" w:color="444748" w:themeColor="accent4" w:themeTint="BF"/>
          <w:bottom w:val="single" w:sz="8" w:space="0" w:color="444748" w:themeColor="accent4" w:themeTint="BF"/>
          <w:right w:val="single" w:sz="8" w:space="0" w:color="44474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5" w:themeTint="BF"/>
        <w:left w:val="single" w:sz="8" w:space="0" w:color="444748" w:themeColor="accent5" w:themeTint="BF"/>
        <w:bottom w:val="single" w:sz="8" w:space="0" w:color="444748" w:themeColor="accent5" w:themeTint="BF"/>
        <w:right w:val="single" w:sz="8" w:space="0" w:color="444748" w:themeColor="accent5" w:themeTint="BF"/>
        <w:insideH w:val="single" w:sz="8" w:space="0" w:color="444748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5" w:themeTint="BF"/>
          <w:left w:val="single" w:sz="8" w:space="0" w:color="444748" w:themeColor="accent5" w:themeTint="BF"/>
          <w:bottom w:val="single" w:sz="8" w:space="0" w:color="444748" w:themeColor="accent5" w:themeTint="BF"/>
          <w:right w:val="single" w:sz="8" w:space="0" w:color="444748" w:themeColor="accent5" w:themeTint="BF"/>
          <w:insideH w:val="nil"/>
          <w:insideV w:val="nil"/>
        </w:tcBorders>
        <w:shd w:val="clear" w:color="auto" w:fill="F4F4F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5" w:themeTint="BF"/>
          <w:left w:val="single" w:sz="8" w:space="0" w:color="444748" w:themeColor="accent5" w:themeTint="BF"/>
          <w:bottom w:val="single" w:sz="8" w:space="0" w:color="444748" w:themeColor="accent5" w:themeTint="BF"/>
          <w:right w:val="single" w:sz="8" w:space="0" w:color="44474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6" w:themeTint="BF"/>
        <w:left w:val="single" w:sz="8" w:space="0" w:color="444748" w:themeColor="accent6" w:themeTint="BF"/>
        <w:bottom w:val="single" w:sz="8" w:space="0" w:color="444748" w:themeColor="accent6" w:themeTint="BF"/>
        <w:right w:val="single" w:sz="8" w:space="0" w:color="444748" w:themeColor="accent6" w:themeTint="BF"/>
        <w:insideH w:val="single" w:sz="8" w:space="0" w:color="444748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6" w:themeTint="BF"/>
          <w:left w:val="single" w:sz="8" w:space="0" w:color="444748" w:themeColor="accent6" w:themeTint="BF"/>
          <w:bottom w:val="single" w:sz="8" w:space="0" w:color="444748" w:themeColor="accent6" w:themeTint="BF"/>
          <w:right w:val="single" w:sz="8" w:space="0" w:color="444748" w:themeColor="accent6" w:themeTint="BF"/>
          <w:insideH w:val="nil"/>
          <w:insideV w:val="nil"/>
        </w:tcBorders>
        <w:shd w:val="clear" w:color="auto" w:fill="F4F4F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6" w:themeTint="BF"/>
          <w:left w:val="single" w:sz="8" w:space="0" w:color="444748" w:themeColor="accent6" w:themeTint="BF"/>
          <w:bottom w:val="single" w:sz="8" w:space="0" w:color="444748" w:themeColor="accent6" w:themeTint="BF"/>
          <w:right w:val="single" w:sz="8" w:space="0" w:color="44474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4F4F4" w:themeFill="text1" w:themeFillTint="3F"/>
      </w:tcPr>
    </w:tblStylePr>
    <w:tblStylePr w:type="band1Horz">
      <w:tblPr/>
      <w:tcPr>
        <w:shd w:val="clear" w:color="auto" w:fill="F4F4F4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1"/>
        <w:bottom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1"/>
          <w:bottom w:val="single" w:sz="8" w:space="0" w:color="4447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1"/>
          <w:bottom w:val="single" w:sz="8" w:space="0" w:color="444748" w:themeColor="accent1"/>
        </w:tcBorders>
      </w:tcPr>
    </w:tblStylePr>
    <w:tblStylePr w:type="band1Vert">
      <w:tblPr/>
      <w:tcPr>
        <w:shd w:val="clear" w:color="auto" w:fill="F4F4F4" w:themeFill="accent1" w:themeFillTint="3F"/>
      </w:tcPr>
    </w:tblStylePr>
    <w:tblStylePr w:type="band1Horz">
      <w:tblPr/>
      <w:tcPr>
        <w:shd w:val="clear" w:color="auto" w:fill="F4F4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2"/>
        <w:bottom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2"/>
          <w:bottom w:val="single" w:sz="8" w:space="0" w:color="4447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2"/>
          <w:bottom w:val="single" w:sz="8" w:space="0" w:color="444748" w:themeColor="accent2"/>
        </w:tcBorders>
      </w:tcPr>
    </w:tblStylePr>
    <w:tblStylePr w:type="band1Vert">
      <w:tblPr/>
      <w:tcPr>
        <w:shd w:val="clear" w:color="auto" w:fill="F4F4F4" w:themeFill="accent2" w:themeFillTint="3F"/>
      </w:tcPr>
    </w:tblStylePr>
    <w:tblStylePr w:type="band1Horz">
      <w:tblPr/>
      <w:tcPr>
        <w:shd w:val="clear" w:color="auto" w:fill="F4F4F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3"/>
        <w:bottom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3"/>
          <w:bottom w:val="single" w:sz="8" w:space="0" w:color="44474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3"/>
          <w:bottom w:val="single" w:sz="8" w:space="0" w:color="444748" w:themeColor="accent3"/>
        </w:tcBorders>
      </w:tcPr>
    </w:tblStylePr>
    <w:tblStylePr w:type="band1Vert">
      <w:tblPr/>
      <w:tcPr>
        <w:shd w:val="clear" w:color="auto" w:fill="F4F4F4" w:themeFill="accent3" w:themeFillTint="3F"/>
      </w:tcPr>
    </w:tblStylePr>
    <w:tblStylePr w:type="band1Horz">
      <w:tblPr/>
      <w:tcPr>
        <w:shd w:val="clear" w:color="auto" w:fill="F4F4F4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4"/>
        <w:bottom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4"/>
          <w:bottom w:val="single" w:sz="8" w:space="0" w:color="44474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4"/>
          <w:bottom w:val="single" w:sz="8" w:space="0" w:color="444748" w:themeColor="accent4"/>
        </w:tcBorders>
      </w:tcPr>
    </w:tblStylePr>
    <w:tblStylePr w:type="band1Vert">
      <w:tblPr/>
      <w:tcPr>
        <w:shd w:val="clear" w:color="auto" w:fill="F4F4F4" w:themeFill="accent4" w:themeFillTint="3F"/>
      </w:tcPr>
    </w:tblStylePr>
    <w:tblStylePr w:type="band1Horz">
      <w:tblPr/>
      <w:tcPr>
        <w:shd w:val="clear" w:color="auto" w:fill="F4F4F4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5"/>
        <w:bottom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5"/>
          <w:bottom w:val="single" w:sz="8" w:space="0" w:color="44474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5"/>
          <w:bottom w:val="single" w:sz="8" w:space="0" w:color="444748" w:themeColor="accent5"/>
        </w:tcBorders>
      </w:tcPr>
    </w:tblStylePr>
    <w:tblStylePr w:type="band1Vert">
      <w:tblPr/>
      <w:tcPr>
        <w:shd w:val="clear" w:color="auto" w:fill="F4F4F4" w:themeFill="accent5" w:themeFillTint="3F"/>
      </w:tcPr>
    </w:tblStylePr>
    <w:tblStylePr w:type="band1Horz">
      <w:tblPr/>
      <w:tcPr>
        <w:shd w:val="clear" w:color="auto" w:fill="F4F4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6"/>
        <w:bottom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6"/>
          <w:bottom w:val="single" w:sz="8" w:space="0" w:color="44474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6"/>
          <w:bottom w:val="single" w:sz="8" w:space="0" w:color="444748" w:themeColor="accent6"/>
        </w:tcBorders>
      </w:tcPr>
    </w:tblStylePr>
    <w:tblStylePr w:type="band1Vert">
      <w:tblPr/>
      <w:tcPr>
        <w:shd w:val="clear" w:color="auto" w:fill="F4F4F4" w:themeFill="accent6" w:themeFillTint="3F"/>
      </w:tcPr>
    </w:tblStylePr>
    <w:tblStylePr w:type="band1Horz">
      <w:tblPr/>
      <w:tcPr>
        <w:shd w:val="clear" w:color="auto" w:fill="F4F4F4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1"/>
        <w:left w:val="single" w:sz="8" w:space="0" w:color="444748" w:themeColor="accent1"/>
        <w:bottom w:val="single" w:sz="8" w:space="0" w:color="444748" w:themeColor="accent1"/>
        <w:right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2"/>
        <w:left w:val="single" w:sz="8" w:space="0" w:color="444748" w:themeColor="accent2"/>
        <w:bottom w:val="single" w:sz="8" w:space="0" w:color="444748" w:themeColor="accent2"/>
        <w:right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3"/>
        <w:left w:val="single" w:sz="8" w:space="0" w:color="444748" w:themeColor="accent3"/>
        <w:bottom w:val="single" w:sz="8" w:space="0" w:color="444748" w:themeColor="accent3"/>
        <w:right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4"/>
        <w:left w:val="single" w:sz="8" w:space="0" w:color="444748" w:themeColor="accent4"/>
        <w:bottom w:val="single" w:sz="8" w:space="0" w:color="444748" w:themeColor="accent4"/>
        <w:right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5"/>
        <w:left w:val="single" w:sz="8" w:space="0" w:color="444748" w:themeColor="accent5"/>
        <w:bottom w:val="single" w:sz="8" w:space="0" w:color="444748" w:themeColor="accent5"/>
        <w:right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6"/>
        <w:left w:val="single" w:sz="8" w:space="0" w:color="444748" w:themeColor="accent6"/>
        <w:bottom w:val="single" w:sz="8" w:space="0" w:color="444748" w:themeColor="accent6"/>
        <w:right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text1" w:themeTint="BF"/>
        <w:left w:val="single" w:sz="8" w:space="0" w:color="444748" w:themeColor="text1" w:themeTint="BF"/>
        <w:bottom w:val="single" w:sz="8" w:space="0" w:color="444748" w:themeColor="text1" w:themeTint="BF"/>
        <w:right w:val="single" w:sz="8" w:space="0" w:color="444748" w:themeColor="text1" w:themeTint="BF"/>
        <w:insideH w:val="single" w:sz="8" w:space="0" w:color="444748" w:themeColor="text1" w:themeTint="BF"/>
        <w:insideV w:val="single" w:sz="8" w:space="0" w:color="444748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text1" w:themeFillTint="7F"/>
      </w:tcPr>
    </w:tblStylePr>
    <w:tblStylePr w:type="band1Horz">
      <w:tblPr/>
      <w:tcPr>
        <w:shd w:val="clear" w:color="auto" w:fill="F4F4F4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1" w:themeTint="BF"/>
        <w:left w:val="single" w:sz="8" w:space="0" w:color="444748" w:themeColor="accent1" w:themeTint="BF"/>
        <w:bottom w:val="single" w:sz="8" w:space="0" w:color="444748" w:themeColor="accent1" w:themeTint="BF"/>
        <w:right w:val="single" w:sz="8" w:space="0" w:color="444748" w:themeColor="accent1" w:themeTint="BF"/>
        <w:insideH w:val="single" w:sz="8" w:space="0" w:color="444748" w:themeColor="accent1" w:themeTint="BF"/>
        <w:insideV w:val="single" w:sz="8" w:space="0" w:color="444748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1" w:themeFillTint="7F"/>
      </w:tcPr>
    </w:tblStylePr>
    <w:tblStylePr w:type="band1Horz">
      <w:tblPr/>
      <w:tcPr>
        <w:shd w:val="clear" w:color="auto" w:fill="F4F4F4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2" w:themeTint="BF"/>
        <w:left w:val="single" w:sz="8" w:space="0" w:color="444748" w:themeColor="accent2" w:themeTint="BF"/>
        <w:bottom w:val="single" w:sz="8" w:space="0" w:color="444748" w:themeColor="accent2" w:themeTint="BF"/>
        <w:right w:val="single" w:sz="8" w:space="0" w:color="444748" w:themeColor="accent2" w:themeTint="BF"/>
        <w:insideH w:val="single" w:sz="8" w:space="0" w:color="444748" w:themeColor="accent2" w:themeTint="BF"/>
        <w:insideV w:val="single" w:sz="8" w:space="0" w:color="444748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7F"/>
      </w:tcPr>
    </w:tblStylePr>
    <w:tblStylePr w:type="band1Horz">
      <w:tblPr/>
      <w:tcPr>
        <w:shd w:val="clear" w:color="auto" w:fill="F4F4F4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3" w:themeTint="BF"/>
        <w:left w:val="single" w:sz="8" w:space="0" w:color="444748" w:themeColor="accent3" w:themeTint="BF"/>
        <w:bottom w:val="single" w:sz="8" w:space="0" w:color="444748" w:themeColor="accent3" w:themeTint="BF"/>
        <w:right w:val="single" w:sz="8" w:space="0" w:color="444748" w:themeColor="accent3" w:themeTint="BF"/>
        <w:insideH w:val="single" w:sz="8" w:space="0" w:color="444748" w:themeColor="accent3" w:themeTint="BF"/>
        <w:insideV w:val="single" w:sz="8" w:space="0" w:color="444748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3" w:themeFillTint="7F"/>
      </w:tcPr>
    </w:tblStylePr>
    <w:tblStylePr w:type="band1Horz">
      <w:tblPr/>
      <w:tcPr>
        <w:shd w:val="clear" w:color="auto" w:fill="F4F4F4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4" w:themeTint="BF"/>
        <w:left w:val="single" w:sz="8" w:space="0" w:color="444748" w:themeColor="accent4" w:themeTint="BF"/>
        <w:bottom w:val="single" w:sz="8" w:space="0" w:color="444748" w:themeColor="accent4" w:themeTint="BF"/>
        <w:right w:val="single" w:sz="8" w:space="0" w:color="444748" w:themeColor="accent4" w:themeTint="BF"/>
        <w:insideH w:val="single" w:sz="8" w:space="0" w:color="444748" w:themeColor="accent4" w:themeTint="BF"/>
        <w:insideV w:val="single" w:sz="8" w:space="0" w:color="444748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4" w:themeFillTint="7F"/>
      </w:tcPr>
    </w:tblStylePr>
    <w:tblStylePr w:type="band1Horz">
      <w:tblPr/>
      <w:tcPr>
        <w:shd w:val="clear" w:color="auto" w:fill="F4F4F4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5" w:themeTint="BF"/>
        <w:left w:val="single" w:sz="8" w:space="0" w:color="444748" w:themeColor="accent5" w:themeTint="BF"/>
        <w:bottom w:val="single" w:sz="8" w:space="0" w:color="444748" w:themeColor="accent5" w:themeTint="BF"/>
        <w:right w:val="single" w:sz="8" w:space="0" w:color="444748" w:themeColor="accent5" w:themeTint="BF"/>
        <w:insideH w:val="single" w:sz="8" w:space="0" w:color="444748" w:themeColor="accent5" w:themeTint="BF"/>
        <w:insideV w:val="single" w:sz="8" w:space="0" w:color="444748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5" w:themeFillTint="7F"/>
      </w:tcPr>
    </w:tblStylePr>
    <w:tblStylePr w:type="band1Horz">
      <w:tblPr/>
      <w:tcPr>
        <w:shd w:val="clear" w:color="auto" w:fill="F4F4F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6" w:themeTint="BF"/>
        <w:left w:val="single" w:sz="8" w:space="0" w:color="444748" w:themeColor="accent6" w:themeTint="BF"/>
        <w:bottom w:val="single" w:sz="8" w:space="0" w:color="444748" w:themeColor="accent6" w:themeTint="BF"/>
        <w:right w:val="single" w:sz="8" w:space="0" w:color="444748" w:themeColor="accent6" w:themeTint="BF"/>
        <w:insideH w:val="single" w:sz="8" w:space="0" w:color="444748" w:themeColor="accent6" w:themeTint="BF"/>
        <w:insideV w:val="single" w:sz="8" w:space="0" w:color="444748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6" w:themeFillTint="7F"/>
      </w:tcPr>
    </w:tblStylePr>
    <w:tblStylePr w:type="band1Horz">
      <w:tblPr/>
      <w:tcPr>
        <w:shd w:val="clear" w:color="auto" w:fill="F4F4F4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text1" w:themeFillTint="33"/>
      </w:tcPr>
    </w:tblStylePr>
    <w:tblStylePr w:type="band1Vert">
      <w:tblPr/>
      <w:tcPr>
        <w:shd w:val="clear" w:color="auto" w:fill="F4F4F4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F4F4F4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1"/>
        <w:left w:val="single" w:sz="8" w:space="0" w:color="444748" w:themeColor="accent1"/>
        <w:bottom w:val="single" w:sz="8" w:space="0" w:color="444748" w:themeColor="accent1"/>
        <w:right w:val="single" w:sz="8" w:space="0" w:color="444748" w:themeColor="accent1"/>
        <w:insideH w:val="single" w:sz="8" w:space="0" w:color="444748" w:themeColor="accent1"/>
        <w:insideV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Tint="33"/>
      </w:tcPr>
    </w:tblStylePr>
    <w:tblStylePr w:type="band1Vert">
      <w:tblPr/>
      <w:tcPr>
        <w:shd w:val="clear" w:color="auto" w:fill="F4F4F4" w:themeFill="accent1" w:themeFillTint="7F"/>
      </w:tcPr>
    </w:tblStylePr>
    <w:tblStylePr w:type="band1Horz">
      <w:tblPr/>
      <w:tcPr>
        <w:tcBorders>
          <w:insideH w:val="single" w:sz="6" w:space="0" w:color="444748" w:themeColor="accent1"/>
          <w:insideV w:val="single" w:sz="6" w:space="0" w:color="444748" w:themeColor="accent1"/>
        </w:tcBorders>
        <w:shd w:val="clear" w:color="auto" w:fill="F4F4F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2"/>
        <w:left w:val="single" w:sz="8" w:space="0" w:color="444748" w:themeColor="accent2"/>
        <w:bottom w:val="single" w:sz="8" w:space="0" w:color="444748" w:themeColor="accent2"/>
        <w:right w:val="single" w:sz="8" w:space="0" w:color="444748" w:themeColor="accent2"/>
        <w:insideH w:val="single" w:sz="8" w:space="0" w:color="444748" w:themeColor="accent2"/>
        <w:insideV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Tint="33"/>
      </w:tcPr>
    </w:tblStylePr>
    <w:tblStylePr w:type="band1Vert">
      <w:tblPr/>
      <w:tcPr>
        <w:shd w:val="clear" w:color="auto" w:fill="F4F4F4" w:themeFill="accent2" w:themeFillTint="7F"/>
      </w:tcPr>
    </w:tblStylePr>
    <w:tblStylePr w:type="band1Horz">
      <w:tblPr/>
      <w:tcPr>
        <w:tcBorders>
          <w:insideH w:val="single" w:sz="6" w:space="0" w:color="444748" w:themeColor="accent2"/>
          <w:insideV w:val="single" w:sz="6" w:space="0" w:color="444748" w:themeColor="accent2"/>
        </w:tcBorders>
        <w:shd w:val="clear" w:color="auto" w:fill="F4F4F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3"/>
        <w:left w:val="single" w:sz="8" w:space="0" w:color="444748" w:themeColor="accent3"/>
        <w:bottom w:val="single" w:sz="8" w:space="0" w:color="444748" w:themeColor="accent3"/>
        <w:right w:val="single" w:sz="8" w:space="0" w:color="444748" w:themeColor="accent3"/>
        <w:insideH w:val="single" w:sz="8" w:space="0" w:color="444748" w:themeColor="accent3"/>
        <w:insideV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Tint="33"/>
      </w:tcPr>
    </w:tblStylePr>
    <w:tblStylePr w:type="band1Vert">
      <w:tblPr/>
      <w:tcPr>
        <w:shd w:val="clear" w:color="auto" w:fill="F4F4F4" w:themeFill="accent3" w:themeFillTint="7F"/>
      </w:tcPr>
    </w:tblStylePr>
    <w:tblStylePr w:type="band1Horz">
      <w:tblPr/>
      <w:tcPr>
        <w:tcBorders>
          <w:insideH w:val="single" w:sz="6" w:space="0" w:color="444748" w:themeColor="accent3"/>
          <w:insideV w:val="single" w:sz="6" w:space="0" w:color="444748" w:themeColor="accent3"/>
        </w:tcBorders>
        <w:shd w:val="clear" w:color="auto" w:fill="F4F4F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4"/>
        <w:left w:val="single" w:sz="8" w:space="0" w:color="444748" w:themeColor="accent4"/>
        <w:bottom w:val="single" w:sz="8" w:space="0" w:color="444748" w:themeColor="accent4"/>
        <w:right w:val="single" w:sz="8" w:space="0" w:color="444748" w:themeColor="accent4"/>
        <w:insideH w:val="single" w:sz="8" w:space="0" w:color="444748" w:themeColor="accent4"/>
        <w:insideV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Tint="33"/>
      </w:tcPr>
    </w:tblStylePr>
    <w:tblStylePr w:type="band1Vert">
      <w:tblPr/>
      <w:tcPr>
        <w:shd w:val="clear" w:color="auto" w:fill="F4F4F4" w:themeFill="accent4" w:themeFillTint="7F"/>
      </w:tcPr>
    </w:tblStylePr>
    <w:tblStylePr w:type="band1Horz">
      <w:tblPr/>
      <w:tcPr>
        <w:tcBorders>
          <w:insideH w:val="single" w:sz="6" w:space="0" w:color="444748" w:themeColor="accent4"/>
          <w:insideV w:val="single" w:sz="6" w:space="0" w:color="444748" w:themeColor="accent4"/>
        </w:tcBorders>
        <w:shd w:val="clear" w:color="auto" w:fill="F4F4F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5"/>
        <w:left w:val="single" w:sz="8" w:space="0" w:color="444748" w:themeColor="accent5"/>
        <w:bottom w:val="single" w:sz="8" w:space="0" w:color="444748" w:themeColor="accent5"/>
        <w:right w:val="single" w:sz="8" w:space="0" w:color="444748" w:themeColor="accent5"/>
        <w:insideH w:val="single" w:sz="8" w:space="0" w:color="444748" w:themeColor="accent5"/>
        <w:insideV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Tint="33"/>
      </w:tcPr>
    </w:tblStylePr>
    <w:tblStylePr w:type="band1Vert">
      <w:tblPr/>
      <w:tcPr>
        <w:shd w:val="clear" w:color="auto" w:fill="F4F4F4" w:themeFill="accent5" w:themeFillTint="7F"/>
      </w:tcPr>
    </w:tblStylePr>
    <w:tblStylePr w:type="band1Horz">
      <w:tblPr/>
      <w:tcPr>
        <w:tcBorders>
          <w:insideH w:val="single" w:sz="6" w:space="0" w:color="444748" w:themeColor="accent5"/>
          <w:insideV w:val="single" w:sz="6" w:space="0" w:color="444748" w:themeColor="accent5"/>
        </w:tcBorders>
        <w:shd w:val="clear" w:color="auto" w:fill="F4F4F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6"/>
        <w:left w:val="single" w:sz="8" w:space="0" w:color="444748" w:themeColor="accent6"/>
        <w:bottom w:val="single" w:sz="8" w:space="0" w:color="444748" w:themeColor="accent6"/>
        <w:right w:val="single" w:sz="8" w:space="0" w:color="444748" w:themeColor="accent6"/>
        <w:insideH w:val="single" w:sz="8" w:space="0" w:color="444748" w:themeColor="accent6"/>
        <w:insideV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Tint="33"/>
      </w:tcPr>
    </w:tblStylePr>
    <w:tblStylePr w:type="band1Vert">
      <w:tblPr/>
      <w:tcPr>
        <w:shd w:val="clear" w:color="auto" w:fill="F4F4F4" w:themeFill="accent6" w:themeFillTint="7F"/>
      </w:tcPr>
    </w:tblStylePr>
    <w:tblStylePr w:type="band1Horz">
      <w:tblPr/>
      <w:tcPr>
        <w:tcBorders>
          <w:insideH w:val="single" w:sz="6" w:space="0" w:color="444748" w:themeColor="accent6"/>
          <w:insideV w:val="single" w:sz="6" w:space="0" w:color="444748" w:themeColor="accent6"/>
        </w:tcBorders>
        <w:shd w:val="clear" w:color="auto" w:fill="F4F4F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F4F4F4" w:themeFill="text1" w:themeFillTint="66"/>
      </w:tcPr>
    </w:tblStylePr>
    <w:tblStylePr w:type="band1Horz">
      <w:tblPr/>
      <w:tcPr>
        <w:shd w:val="clear" w:color="auto" w:fill="F4F4F4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2"/>
        <w:left w:val="single" w:sz="4" w:space="0" w:color="444748" w:themeColor="accent1"/>
        <w:bottom w:val="single" w:sz="4" w:space="0" w:color="444748" w:themeColor="accent1"/>
        <w:right w:val="single" w:sz="4" w:space="0" w:color="444748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1" w:themeShade="99"/>
          <w:insideV w:val="nil"/>
        </w:tcBorders>
        <w:shd w:val="clear" w:color="auto" w:fill="F4F4F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Shade="99"/>
      </w:tcPr>
    </w:tblStylePr>
    <w:tblStylePr w:type="band1Vert">
      <w:tblPr/>
      <w:tcPr>
        <w:shd w:val="clear" w:color="auto" w:fill="F4F4F4" w:themeFill="accent1" w:themeFillTint="66"/>
      </w:tcPr>
    </w:tblStylePr>
    <w:tblStylePr w:type="band1Horz">
      <w:tblPr/>
      <w:tcPr>
        <w:shd w:val="clear" w:color="auto" w:fill="F4F4F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2"/>
        <w:left w:val="single" w:sz="4" w:space="0" w:color="444748" w:themeColor="accent2"/>
        <w:bottom w:val="single" w:sz="4" w:space="0" w:color="444748" w:themeColor="accent2"/>
        <w:right w:val="single" w:sz="4" w:space="0" w:color="444748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2" w:themeShade="99"/>
          <w:insideV w:val="nil"/>
        </w:tcBorders>
        <w:shd w:val="clear" w:color="auto" w:fill="F4F4F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Shade="99"/>
      </w:tcPr>
    </w:tblStylePr>
    <w:tblStylePr w:type="band1Vert">
      <w:tblPr/>
      <w:tcPr>
        <w:shd w:val="clear" w:color="auto" w:fill="F4F4F4" w:themeFill="accent2" w:themeFillTint="66"/>
      </w:tcPr>
    </w:tblStylePr>
    <w:tblStylePr w:type="band1Horz">
      <w:tblPr/>
      <w:tcPr>
        <w:shd w:val="clear" w:color="auto" w:fill="F4F4F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4"/>
        <w:left w:val="single" w:sz="4" w:space="0" w:color="444748" w:themeColor="accent3"/>
        <w:bottom w:val="single" w:sz="4" w:space="0" w:color="444748" w:themeColor="accent3"/>
        <w:right w:val="single" w:sz="4" w:space="0" w:color="444748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3" w:themeShade="99"/>
          <w:insideV w:val="nil"/>
        </w:tcBorders>
        <w:shd w:val="clear" w:color="auto" w:fill="F4F4F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Shade="99"/>
      </w:tcPr>
    </w:tblStylePr>
    <w:tblStylePr w:type="band1Vert">
      <w:tblPr/>
      <w:tcPr>
        <w:shd w:val="clear" w:color="auto" w:fill="F4F4F4" w:themeFill="accent3" w:themeFillTint="66"/>
      </w:tcPr>
    </w:tblStylePr>
    <w:tblStylePr w:type="band1Horz">
      <w:tblPr/>
      <w:tcPr>
        <w:shd w:val="clear" w:color="auto" w:fill="F4F4F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3"/>
        <w:left w:val="single" w:sz="4" w:space="0" w:color="444748" w:themeColor="accent4"/>
        <w:bottom w:val="single" w:sz="4" w:space="0" w:color="444748" w:themeColor="accent4"/>
        <w:right w:val="single" w:sz="4" w:space="0" w:color="444748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4" w:themeShade="99"/>
          <w:insideV w:val="nil"/>
        </w:tcBorders>
        <w:shd w:val="clear" w:color="auto" w:fill="F4F4F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Shade="99"/>
      </w:tcPr>
    </w:tblStylePr>
    <w:tblStylePr w:type="band1Vert">
      <w:tblPr/>
      <w:tcPr>
        <w:shd w:val="clear" w:color="auto" w:fill="F4F4F4" w:themeFill="accent4" w:themeFillTint="66"/>
      </w:tcPr>
    </w:tblStylePr>
    <w:tblStylePr w:type="band1Horz">
      <w:tblPr/>
      <w:tcPr>
        <w:shd w:val="clear" w:color="auto" w:fill="F4F4F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6"/>
        <w:left w:val="single" w:sz="4" w:space="0" w:color="444748" w:themeColor="accent5"/>
        <w:bottom w:val="single" w:sz="4" w:space="0" w:color="444748" w:themeColor="accent5"/>
        <w:right w:val="single" w:sz="4" w:space="0" w:color="444748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5" w:themeShade="99"/>
          <w:insideV w:val="nil"/>
        </w:tcBorders>
        <w:shd w:val="clear" w:color="auto" w:fill="F4F4F4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Shade="99"/>
      </w:tcPr>
    </w:tblStylePr>
    <w:tblStylePr w:type="band1Vert">
      <w:tblPr/>
      <w:tcPr>
        <w:shd w:val="clear" w:color="auto" w:fill="F4F4F4" w:themeFill="accent5" w:themeFillTint="66"/>
      </w:tcPr>
    </w:tblStylePr>
    <w:tblStylePr w:type="band1Horz">
      <w:tblPr/>
      <w:tcPr>
        <w:shd w:val="clear" w:color="auto" w:fill="F4F4F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5"/>
        <w:left w:val="single" w:sz="4" w:space="0" w:color="444748" w:themeColor="accent6"/>
        <w:bottom w:val="single" w:sz="4" w:space="0" w:color="444748" w:themeColor="accent6"/>
        <w:right w:val="single" w:sz="4" w:space="0" w:color="444748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6" w:themeShade="99"/>
          <w:insideV w:val="nil"/>
        </w:tcBorders>
        <w:shd w:val="clear" w:color="auto" w:fill="F4F4F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Shade="99"/>
      </w:tcPr>
    </w:tblStylePr>
    <w:tblStylePr w:type="band1Vert">
      <w:tblPr/>
      <w:tcPr>
        <w:shd w:val="clear" w:color="auto" w:fill="F4F4F4" w:themeFill="accent6" w:themeFillTint="66"/>
      </w:tcPr>
    </w:tblStylePr>
    <w:tblStylePr w:type="band1Horz">
      <w:tblPr/>
      <w:tcPr>
        <w:shd w:val="clear" w:color="auto" w:fill="F4F4F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text1" w:themeFillTint="3F"/>
      </w:tcPr>
    </w:tblStylePr>
    <w:tblStylePr w:type="band1Horz">
      <w:tblPr/>
      <w:tcPr>
        <w:shd w:val="clear" w:color="auto" w:fill="F4F4F4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Tint="3F"/>
      </w:tcPr>
    </w:tblStylePr>
    <w:tblStylePr w:type="band1Horz">
      <w:tblPr/>
      <w:tcPr>
        <w:shd w:val="clear" w:color="auto" w:fill="F4F4F4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Tint="3F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Tint="3F"/>
      </w:tcPr>
    </w:tblStylePr>
    <w:tblStylePr w:type="band1Horz">
      <w:tblPr/>
      <w:tcPr>
        <w:shd w:val="clear" w:color="auto" w:fill="F4F4F4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Tint="3F"/>
      </w:tcPr>
    </w:tblStylePr>
    <w:tblStylePr w:type="band1Horz">
      <w:tblPr/>
      <w:tcPr>
        <w:shd w:val="clear" w:color="auto" w:fill="F4F4F4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Tint="3F"/>
      </w:tcPr>
    </w:tblStylePr>
    <w:tblStylePr w:type="band1Horz">
      <w:tblPr/>
      <w:tcPr>
        <w:shd w:val="clear" w:color="auto" w:fill="F4F4F4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Tint="3F"/>
      </w:tcPr>
    </w:tblStylePr>
    <w:tblStylePr w:type="band1Horz">
      <w:tblPr/>
      <w:tcPr>
        <w:shd w:val="clear" w:color="auto" w:fill="F4F4F4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33"/>
    </w:tcPr>
    <w:tblStylePr w:type="firstRow">
      <w:rPr>
        <w:b/>
        <w:bCs/>
      </w:rPr>
      <w:tblPr/>
      <w:tcPr>
        <w:shd w:val="clear" w:color="auto" w:fill="F4F4F4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F4F4F4" w:themeFill="text1" w:themeFillTint="7F"/>
      </w:tcPr>
    </w:tblStylePr>
    <w:tblStylePr w:type="band1Horz">
      <w:tblPr/>
      <w:tcPr>
        <w:shd w:val="clear" w:color="auto" w:fill="F4F4F4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33"/>
    </w:tcPr>
    <w:tblStylePr w:type="firstRow">
      <w:rPr>
        <w:b/>
        <w:bCs/>
      </w:rPr>
      <w:tblPr/>
      <w:tcPr>
        <w:shd w:val="clear" w:color="auto" w:fill="F4F4F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1" w:themeFillShade="BF"/>
      </w:tcPr>
    </w:tblStylePr>
    <w:tblStylePr w:type="band1Vert">
      <w:tblPr/>
      <w:tcPr>
        <w:shd w:val="clear" w:color="auto" w:fill="F4F4F4" w:themeFill="accent1" w:themeFillTint="7F"/>
      </w:tcPr>
    </w:tblStylePr>
    <w:tblStylePr w:type="band1Horz">
      <w:tblPr/>
      <w:tcPr>
        <w:shd w:val="clear" w:color="auto" w:fill="F4F4F4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33"/>
    </w:tcPr>
    <w:tblStylePr w:type="firstRow">
      <w:rPr>
        <w:b/>
        <w:bCs/>
      </w:rPr>
      <w:tblPr/>
      <w:tcPr>
        <w:shd w:val="clear" w:color="auto" w:fill="F4F4F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2" w:themeFillShade="BF"/>
      </w:tcPr>
    </w:tblStylePr>
    <w:tblStylePr w:type="band1Vert">
      <w:tblPr/>
      <w:tcPr>
        <w:shd w:val="clear" w:color="auto" w:fill="F4F4F4" w:themeFill="accent2" w:themeFillTint="7F"/>
      </w:tcPr>
    </w:tblStylePr>
    <w:tblStylePr w:type="band1Horz">
      <w:tblPr/>
      <w:tcPr>
        <w:shd w:val="clear" w:color="auto" w:fill="F4F4F4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33"/>
    </w:tcPr>
    <w:tblStylePr w:type="firstRow">
      <w:rPr>
        <w:b/>
        <w:bCs/>
      </w:rPr>
      <w:tblPr/>
      <w:tcPr>
        <w:shd w:val="clear" w:color="auto" w:fill="F4F4F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3" w:themeFillShade="BF"/>
      </w:tcPr>
    </w:tblStylePr>
    <w:tblStylePr w:type="band1Vert">
      <w:tblPr/>
      <w:tcPr>
        <w:shd w:val="clear" w:color="auto" w:fill="F4F4F4" w:themeFill="accent3" w:themeFillTint="7F"/>
      </w:tcPr>
    </w:tblStylePr>
    <w:tblStylePr w:type="band1Horz">
      <w:tblPr/>
      <w:tcPr>
        <w:shd w:val="clear" w:color="auto" w:fill="F4F4F4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33"/>
    </w:tcPr>
    <w:tblStylePr w:type="firstRow">
      <w:rPr>
        <w:b/>
        <w:bCs/>
      </w:rPr>
      <w:tblPr/>
      <w:tcPr>
        <w:shd w:val="clear" w:color="auto" w:fill="F4F4F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4" w:themeFillShade="BF"/>
      </w:tcPr>
    </w:tblStylePr>
    <w:tblStylePr w:type="band1Vert">
      <w:tblPr/>
      <w:tcPr>
        <w:shd w:val="clear" w:color="auto" w:fill="F4F4F4" w:themeFill="accent4" w:themeFillTint="7F"/>
      </w:tcPr>
    </w:tblStylePr>
    <w:tblStylePr w:type="band1Horz">
      <w:tblPr/>
      <w:tcPr>
        <w:shd w:val="clear" w:color="auto" w:fill="F4F4F4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33"/>
    </w:tcPr>
    <w:tblStylePr w:type="firstRow">
      <w:rPr>
        <w:b/>
        <w:bCs/>
      </w:rPr>
      <w:tblPr/>
      <w:tcPr>
        <w:shd w:val="clear" w:color="auto" w:fill="F4F4F4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5" w:themeFillShade="BF"/>
      </w:tcPr>
    </w:tblStylePr>
    <w:tblStylePr w:type="band1Vert">
      <w:tblPr/>
      <w:tcPr>
        <w:shd w:val="clear" w:color="auto" w:fill="F4F4F4" w:themeFill="accent5" w:themeFillTint="7F"/>
      </w:tcPr>
    </w:tblStylePr>
    <w:tblStylePr w:type="band1Horz">
      <w:tblPr/>
      <w:tcPr>
        <w:shd w:val="clear" w:color="auto" w:fill="F4F4F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33"/>
    </w:tcPr>
    <w:tblStylePr w:type="firstRow">
      <w:rPr>
        <w:b/>
        <w:bCs/>
      </w:rPr>
      <w:tblPr/>
      <w:tcPr>
        <w:shd w:val="clear" w:color="auto" w:fill="F4F4F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6" w:themeFillShade="BF"/>
      </w:tcPr>
    </w:tblStylePr>
    <w:tblStylePr w:type="band1Vert">
      <w:tblPr/>
      <w:tcPr>
        <w:shd w:val="clear" w:color="auto" w:fill="F4F4F4" w:themeFill="accent6" w:themeFillTint="7F"/>
      </w:tcPr>
    </w:tblStylePr>
    <w:tblStylePr w:type="band1Horz">
      <w:tblPr/>
      <w:tcPr>
        <w:shd w:val="clear" w:color="auto" w:fill="F4F4F4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unito" w:hAnsi="Nunito" w:cs="Nunito" w:eastAsia="Nunito"/>
        <w:sz w:val="22"/>
        <w:szCs w:val="22"/>
        <w:lang w:val="en-US" w:eastAsia="Nunit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unito" w:hAnsi="Nunito" w:cs="Nunito" w:eastAsia="Nuni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unito" w:hAnsi="Nunito" w:cs="Nunito" w:eastAsia="Nuni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unito" w:hAnsi="Nunito" w:cs="Nunito" w:eastAsia="Nuni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unito" w:hAnsi="Nunito" w:cs="Nunito" w:eastAsia="Nuni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unito" w:hAnsi="Nunito" w:cs="Nunito" w:eastAsia="Nuni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unito" w:hAnsi="Nunito" w:cs="Nunito" w:eastAsia="Nuni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unito" w:hAnsi="Nunito" w:cs="Nunito" w:eastAsia="Nuni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unito" w:hAnsi="Nunito" w:cs="Nunito" w:eastAsia="Nuni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unito" w:hAnsi="Nunito" w:cs="Nunito" w:eastAsia="Nuni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unito" w:hAnsi="Nunito" w:cs="Nunito" w:eastAsia="Nunito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unito" w:hAnsi="Nunito" w:cs="Nunito" w:eastAsia="Nunito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unito" w:hAnsi="Nunito" w:cs="Nunito" w:eastAsia="Nunito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44748" w:themeColor="accent1"/>
      </w:pBdr>
      <w:spacing w:after="300" w:line="240" w:lineRule="auto"/>
      <w:contextualSpacing/>
    </w:pPr>
    <w:rPr>
      <w:rFonts w:ascii="Nunito" w:hAnsi="Nunito" w:cs="Nunito" w:eastAsia="Nunit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unito" w:hAnsi="Nunito" w:cs="Nunito" w:eastAsia="Nunito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unito" w:hAnsi="Nunito" w:cs="Nunito" w:eastAsia="Nunito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unito" w:hAnsi="Nunito" w:cs="Nunito" w:eastAsia="Nunito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unito" w:hAnsi="Nunito" w:cs="Nunito" w:eastAsia="Nunit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unito" w:hAnsi="Nunito" w:cs="Nunito" w:eastAsia="Nunito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unito" w:hAnsi="Nunito" w:cs="Nunito" w:eastAsia="Nunito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unito" w:hAnsi="Nunito" w:cs="Nunito" w:eastAsia="Nunito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unito" w:hAnsi="Nunito" w:cs="Nunito" w:eastAsia="Nunito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unito" w:hAnsi="Nunito" w:cs="Nunito" w:eastAsia="Nunito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unito" w:hAnsi="Nunito" w:cs="Nunito" w:eastAsia="Nunito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unito" w:hAnsi="Nunito" w:cs="Nunito" w:eastAsia="Nunito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44748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44748" w:themeColor="accent1"/>
        <w:bottom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1"/>
          <w:left w:val="nil"/>
          <w:bottom w:val="single" w:sz="8" w:space="0" w:color="44474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1"/>
          <w:left w:val="nil"/>
          <w:bottom w:val="single" w:sz="8" w:space="0" w:color="44474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444748" w:themeColor="accent2"/>
        <w:bottom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2"/>
          <w:left w:val="nil"/>
          <w:bottom w:val="single" w:sz="8" w:space="0" w:color="44474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2"/>
          <w:left w:val="nil"/>
          <w:bottom w:val="single" w:sz="8" w:space="0" w:color="44474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444748" w:themeColor="accent3"/>
        <w:bottom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3"/>
          <w:left w:val="nil"/>
          <w:bottom w:val="single" w:sz="8" w:space="0" w:color="44474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3"/>
          <w:left w:val="nil"/>
          <w:bottom w:val="single" w:sz="8" w:space="0" w:color="44474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444748" w:themeColor="accent4"/>
        <w:bottom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4"/>
          <w:left w:val="nil"/>
          <w:bottom w:val="single" w:sz="8" w:space="0" w:color="44474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4"/>
          <w:left w:val="nil"/>
          <w:bottom w:val="single" w:sz="8" w:space="0" w:color="44474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44748" w:themeColor="accent5"/>
        <w:bottom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5"/>
          <w:left w:val="nil"/>
          <w:bottom w:val="single" w:sz="8" w:space="0" w:color="44474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5"/>
          <w:left w:val="nil"/>
          <w:bottom w:val="single" w:sz="8" w:space="0" w:color="44474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444748" w:themeColor="accent6"/>
        <w:bottom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6"/>
          <w:left w:val="nil"/>
          <w:bottom w:val="single" w:sz="8" w:space="0" w:color="44474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6"/>
          <w:left w:val="nil"/>
          <w:bottom w:val="single" w:sz="8" w:space="0" w:color="44474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1"/>
        <w:left w:val="single" w:sz="8" w:space="0" w:color="444748" w:themeColor="accent1"/>
        <w:bottom w:val="single" w:sz="8" w:space="0" w:color="444748" w:themeColor="accent1"/>
        <w:right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</w:tcBorders>
      </w:tcPr>
    </w:tblStylePr>
    <w:tblStylePr w:type="band1Horz"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2"/>
        <w:left w:val="single" w:sz="8" w:space="0" w:color="444748" w:themeColor="accent2"/>
        <w:bottom w:val="single" w:sz="8" w:space="0" w:color="444748" w:themeColor="accent2"/>
        <w:right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</w:tcBorders>
      </w:tcPr>
    </w:tblStylePr>
    <w:tblStylePr w:type="band1Horz"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3"/>
        <w:left w:val="single" w:sz="8" w:space="0" w:color="444748" w:themeColor="accent3"/>
        <w:bottom w:val="single" w:sz="8" w:space="0" w:color="444748" w:themeColor="accent3"/>
        <w:right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</w:tcBorders>
      </w:tcPr>
    </w:tblStylePr>
    <w:tblStylePr w:type="band1Horz"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4"/>
        <w:left w:val="single" w:sz="8" w:space="0" w:color="444748" w:themeColor="accent4"/>
        <w:bottom w:val="single" w:sz="8" w:space="0" w:color="444748" w:themeColor="accent4"/>
        <w:right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</w:tcBorders>
      </w:tcPr>
    </w:tblStylePr>
    <w:tblStylePr w:type="band1Horz"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5"/>
        <w:left w:val="single" w:sz="8" w:space="0" w:color="444748" w:themeColor="accent5"/>
        <w:bottom w:val="single" w:sz="8" w:space="0" w:color="444748" w:themeColor="accent5"/>
        <w:right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</w:tcBorders>
      </w:tcPr>
    </w:tblStylePr>
    <w:tblStylePr w:type="band1Horz"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6"/>
        <w:left w:val="single" w:sz="8" w:space="0" w:color="444748" w:themeColor="accent6"/>
        <w:bottom w:val="single" w:sz="8" w:space="0" w:color="444748" w:themeColor="accent6"/>
        <w:right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</w:tcBorders>
      </w:tcPr>
    </w:tblStylePr>
    <w:tblStylePr w:type="band1Horz"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4F4F4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F4F4F4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1"/>
        <w:left w:val="single" w:sz="8" w:space="0" w:color="444748" w:themeColor="accent1"/>
        <w:bottom w:val="single" w:sz="8" w:space="0" w:color="444748" w:themeColor="accent1"/>
        <w:right w:val="single" w:sz="8" w:space="0" w:color="444748" w:themeColor="accent1"/>
        <w:insideH w:val="single" w:sz="8" w:space="0" w:color="444748" w:themeColor="accent1"/>
        <w:insideV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18" w:space="0" w:color="444748" w:themeColor="accent1"/>
          <w:right w:val="single" w:sz="8" w:space="0" w:color="444748" w:themeColor="accent1"/>
          <w:insideH w:val="nil"/>
          <w:insideV w:val="single" w:sz="8" w:space="0" w:color="444748" w:themeColor="accent1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  <w:insideH w:val="nil"/>
          <w:insideV w:val="single" w:sz="8" w:space="0" w:color="444748" w:themeColor="accent1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</w:tcBorders>
      </w:tcPr>
    </w:tblStylePr>
    <w:tblStylePr w:type="band1Vert"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</w:tcBorders>
        <w:shd w:val="clear" w:color="auto" w:fill="F4F4F4" w:themeFill="accent1" w:themeFillTint="3F"/>
      </w:tcPr>
    </w:tblStylePr>
    <w:tblStylePr w:type="band1Horz"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  <w:insideV w:val="single" w:sz="8" w:space="0" w:color="444748" w:themeColor="accent1"/>
        </w:tcBorders>
        <w:shd w:val="clear" w:color="auto" w:fill="F4F4F4" w:themeFill="accent1" w:themeFillTint="3F"/>
      </w:tcPr>
    </w:tblStylePr>
    <w:tblStylePr w:type="band2Horz"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  <w:insideV w:val="single" w:sz="8" w:space="0" w:color="444748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2"/>
        <w:left w:val="single" w:sz="8" w:space="0" w:color="444748" w:themeColor="accent2"/>
        <w:bottom w:val="single" w:sz="8" w:space="0" w:color="444748" w:themeColor="accent2"/>
        <w:right w:val="single" w:sz="8" w:space="0" w:color="444748" w:themeColor="accent2"/>
        <w:insideH w:val="single" w:sz="8" w:space="0" w:color="444748" w:themeColor="accent2"/>
        <w:insideV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18" w:space="0" w:color="444748" w:themeColor="accent2"/>
          <w:right w:val="single" w:sz="8" w:space="0" w:color="444748" w:themeColor="accent2"/>
          <w:insideH w:val="nil"/>
          <w:insideV w:val="single" w:sz="8" w:space="0" w:color="444748" w:themeColor="accent2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  <w:insideH w:val="nil"/>
          <w:insideV w:val="single" w:sz="8" w:space="0" w:color="444748" w:themeColor="accent2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</w:tcBorders>
      </w:tcPr>
    </w:tblStylePr>
    <w:tblStylePr w:type="band1Vert"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</w:tcBorders>
        <w:shd w:val="clear" w:color="auto" w:fill="F4F4F4" w:themeFill="accent2" w:themeFillTint="3F"/>
      </w:tcPr>
    </w:tblStylePr>
    <w:tblStylePr w:type="band1Horz"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  <w:insideV w:val="single" w:sz="8" w:space="0" w:color="444748" w:themeColor="accent2"/>
        </w:tcBorders>
        <w:shd w:val="clear" w:color="auto" w:fill="F4F4F4" w:themeFill="accent2" w:themeFillTint="3F"/>
      </w:tcPr>
    </w:tblStylePr>
    <w:tblStylePr w:type="band2Horz"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  <w:insideV w:val="single" w:sz="8" w:space="0" w:color="444748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3"/>
        <w:left w:val="single" w:sz="8" w:space="0" w:color="444748" w:themeColor="accent3"/>
        <w:bottom w:val="single" w:sz="8" w:space="0" w:color="444748" w:themeColor="accent3"/>
        <w:right w:val="single" w:sz="8" w:space="0" w:color="444748" w:themeColor="accent3"/>
        <w:insideH w:val="single" w:sz="8" w:space="0" w:color="444748" w:themeColor="accent3"/>
        <w:insideV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18" w:space="0" w:color="444748" w:themeColor="accent3"/>
          <w:right w:val="single" w:sz="8" w:space="0" w:color="444748" w:themeColor="accent3"/>
          <w:insideH w:val="nil"/>
          <w:insideV w:val="single" w:sz="8" w:space="0" w:color="444748" w:themeColor="accent3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  <w:insideH w:val="nil"/>
          <w:insideV w:val="single" w:sz="8" w:space="0" w:color="444748" w:themeColor="accent3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</w:tcBorders>
      </w:tcPr>
    </w:tblStylePr>
    <w:tblStylePr w:type="band1Vert"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</w:tcBorders>
        <w:shd w:val="clear" w:color="auto" w:fill="F4F4F4" w:themeFill="accent3" w:themeFillTint="3F"/>
      </w:tcPr>
    </w:tblStylePr>
    <w:tblStylePr w:type="band1Horz"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  <w:insideV w:val="single" w:sz="8" w:space="0" w:color="444748" w:themeColor="accent3"/>
        </w:tcBorders>
        <w:shd w:val="clear" w:color="auto" w:fill="F4F4F4" w:themeFill="accent3" w:themeFillTint="3F"/>
      </w:tcPr>
    </w:tblStylePr>
    <w:tblStylePr w:type="band2Horz"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  <w:insideV w:val="single" w:sz="8" w:space="0" w:color="444748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4"/>
        <w:left w:val="single" w:sz="8" w:space="0" w:color="444748" w:themeColor="accent4"/>
        <w:bottom w:val="single" w:sz="8" w:space="0" w:color="444748" w:themeColor="accent4"/>
        <w:right w:val="single" w:sz="8" w:space="0" w:color="444748" w:themeColor="accent4"/>
        <w:insideH w:val="single" w:sz="8" w:space="0" w:color="444748" w:themeColor="accent4"/>
        <w:insideV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18" w:space="0" w:color="444748" w:themeColor="accent4"/>
          <w:right w:val="single" w:sz="8" w:space="0" w:color="444748" w:themeColor="accent4"/>
          <w:insideH w:val="nil"/>
          <w:insideV w:val="single" w:sz="8" w:space="0" w:color="444748" w:themeColor="accent4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  <w:insideH w:val="nil"/>
          <w:insideV w:val="single" w:sz="8" w:space="0" w:color="444748" w:themeColor="accent4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</w:tcBorders>
      </w:tcPr>
    </w:tblStylePr>
    <w:tblStylePr w:type="band1Vert"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</w:tcBorders>
        <w:shd w:val="clear" w:color="auto" w:fill="F4F4F4" w:themeFill="accent4" w:themeFillTint="3F"/>
      </w:tcPr>
    </w:tblStylePr>
    <w:tblStylePr w:type="band1Horz"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  <w:insideV w:val="single" w:sz="8" w:space="0" w:color="444748" w:themeColor="accent4"/>
        </w:tcBorders>
        <w:shd w:val="clear" w:color="auto" w:fill="F4F4F4" w:themeFill="accent4" w:themeFillTint="3F"/>
      </w:tcPr>
    </w:tblStylePr>
    <w:tblStylePr w:type="band2Horz"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  <w:insideV w:val="single" w:sz="8" w:space="0" w:color="444748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5"/>
        <w:left w:val="single" w:sz="8" w:space="0" w:color="444748" w:themeColor="accent5"/>
        <w:bottom w:val="single" w:sz="8" w:space="0" w:color="444748" w:themeColor="accent5"/>
        <w:right w:val="single" w:sz="8" w:space="0" w:color="444748" w:themeColor="accent5"/>
        <w:insideH w:val="single" w:sz="8" w:space="0" w:color="444748" w:themeColor="accent5"/>
        <w:insideV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18" w:space="0" w:color="444748" w:themeColor="accent5"/>
          <w:right w:val="single" w:sz="8" w:space="0" w:color="444748" w:themeColor="accent5"/>
          <w:insideH w:val="nil"/>
          <w:insideV w:val="single" w:sz="8" w:space="0" w:color="444748" w:themeColor="accent5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  <w:insideH w:val="nil"/>
          <w:insideV w:val="single" w:sz="8" w:space="0" w:color="444748" w:themeColor="accent5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</w:tcBorders>
      </w:tcPr>
    </w:tblStylePr>
    <w:tblStylePr w:type="band1Vert"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</w:tcBorders>
        <w:shd w:val="clear" w:color="auto" w:fill="F4F4F4" w:themeFill="accent5" w:themeFillTint="3F"/>
      </w:tcPr>
    </w:tblStylePr>
    <w:tblStylePr w:type="band1Horz"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  <w:insideV w:val="single" w:sz="8" w:space="0" w:color="444748" w:themeColor="accent5"/>
        </w:tcBorders>
        <w:shd w:val="clear" w:color="auto" w:fill="F4F4F4" w:themeFill="accent5" w:themeFillTint="3F"/>
      </w:tcPr>
    </w:tblStylePr>
    <w:tblStylePr w:type="band2Horz"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  <w:insideV w:val="single" w:sz="8" w:space="0" w:color="444748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6"/>
        <w:left w:val="single" w:sz="8" w:space="0" w:color="444748" w:themeColor="accent6"/>
        <w:bottom w:val="single" w:sz="8" w:space="0" w:color="444748" w:themeColor="accent6"/>
        <w:right w:val="single" w:sz="8" w:space="0" w:color="444748" w:themeColor="accent6"/>
        <w:insideH w:val="single" w:sz="8" w:space="0" w:color="444748" w:themeColor="accent6"/>
        <w:insideV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18" w:space="0" w:color="444748" w:themeColor="accent6"/>
          <w:right w:val="single" w:sz="8" w:space="0" w:color="444748" w:themeColor="accent6"/>
          <w:insideH w:val="nil"/>
          <w:insideV w:val="single" w:sz="8" w:space="0" w:color="444748" w:themeColor="accent6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  <w:insideH w:val="nil"/>
          <w:insideV w:val="single" w:sz="8" w:space="0" w:color="444748" w:themeColor="accent6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</w:tcBorders>
      </w:tcPr>
    </w:tblStylePr>
    <w:tblStylePr w:type="band1Vert"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</w:tcBorders>
        <w:shd w:val="clear" w:color="auto" w:fill="F4F4F4" w:themeFill="accent6" w:themeFillTint="3F"/>
      </w:tcPr>
    </w:tblStylePr>
    <w:tblStylePr w:type="band1Horz"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  <w:insideV w:val="single" w:sz="8" w:space="0" w:color="444748" w:themeColor="accent6"/>
        </w:tcBorders>
        <w:shd w:val="clear" w:color="auto" w:fill="F4F4F4" w:themeFill="accent6" w:themeFillTint="3F"/>
      </w:tcPr>
    </w:tblStylePr>
    <w:tblStylePr w:type="band2Horz"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  <w:insideV w:val="single" w:sz="8" w:space="0" w:color="444748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text1" w:themeTint="BF"/>
        <w:left w:val="single" w:sz="8" w:space="0" w:color="444748" w:themeColor="text1" w:themeTint="BF"/>
        <w:bottom w:val="single" w:sz="8" w:space="0" w:color="444748" w:themeColor="text1" w:themeTint="BF"/>
        <w:right w:val="single" w:sz="8" w:space="0" w:color="444748" w:themeColor="text1" w:themeTint="BF"/>
        <w:insideH w:val="single" w:sz="8" w:space="0" w:color="444748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text1" w:themeTint="BF"/>
          <w:left w:val="single" w:sz="8" w:space="0" w:color="444748" w:themeColor="text1" w:themeTint="BF"/>
          <w:bottom w:val="single" w:sz="8" w:space="0" w:color="444748" w:themeColor="text1" w:themeTint="BF"/>
          <w:right w:val="single" w:sz="8" w:space="0" w:color="444748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text1" w:themeTint="BF"/>
          <w:left w:val="single" w:sz="8" w:space="0" w:color="444748" w:themeColor="text1" w:themeTint="BF"/>
          <w:bottom w:val="single" w:sz="8" w:space="0" w:color="444748" w:themeColor="text1" w:themeTint="BF"/>
          <w:right w:val="single" w:sz="8" w:space="0" w:color="444748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1" w:themeTint="BF"/>
        <w:left w:val="single" w:sz="8" w:space="0" w:color="444748" w:themeColor="accent1" w:themeTint="BF"/>
        <w:bottom w:val="single" w:sz="8" w:space="0" w:color="444748" w:themeColor="accent1" w:themeTint="BF"/>
        <w:right w:val="single" w:sz="8" w:space="0" w:color="444748" w:themeColor="accent1" w:themeTint="BF"/>
        <w:insideH w:val="single" w:sz="8" w:space="0" w:color="444748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1" w:themeTint="BF"/>
          <w:left w:val="single" w:sz="8" w:space="0" w:color="444748" w:themeColor="accent1" w:themeTint="BF"/>
          <w:bottom w:val="single" w:sz="8" w:space="0" w:color="444748" w:themeColor="accent1" w:themeTint="BF"/>
          <w:right w:val="single" w:sz="8" w:space="0" w:color="444748" w:themeColor="accent1" w:themeTint="BF"/>
          <w:insideH w:val="nil"/>
          <w:insideV w:val="nil"/>
        </w:tcBorders>
        <w:shd w:val="clear" w:color="auto" w:fill="F4F4F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1" w:themeTint="BF"/>
          <w:left w:val="single" w:sz="8" w:space="0" w:color="444748" w:themeColor="accent1" w:themeTint="BF"/>
          <w:bottom w:val="single" w:sz="8" w:space="0" w:color="444748" w:themeColor="accent1" w:themeTint="BF"/>
          <w:right w:val="single" w:sz="8" w:space="0" w:color="44474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2" w:themeTint="BF"/>
        <w:left w:val="single" w:sz="8" w:space="0" w:color="444748" w:themeColor="accent2" w:themeTint="BF"/>
        <w:bottom w:val="single" w:sz="8" w:space="0" w:color="444748" w:themeColor="accent2" w:themeTint="BF"/>
        <w:right w:val="single" w:sz="8" w:space="0" w:color="444748" w:themeColor="accent2" w:themeTint="BF"/>
        <w:insideH w:val="single" w:sz="8" w:space="0" w:color="444748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2" w:themeTint="BF"/>
          <w:left w:val="single" w:sz="8" w:space="0" w:color="444748" w:themeColor="accent2" w:themeTint="BF"/>
          <w:bottom w:val="single" w:sz="8" w:space="0" w:color="444748" w:themeColor="accent2" w:themeTint="BF"/>
          <w:right w:val="single" w:sz="8" w:space="0" w:color="444748" w:themeColor="accent2" w:themeTint="BF"/>
          <w:insideH w:val="nil"/>
          <w:insideV w:val="nil"/>
        </w:tcBorders>
        <w:shd w:val="clear" w:color="auto" w:fill="F4F4F4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2" w:themeTint="BF"/>
          <w:left w:val="single" w:sz="8" w:space="0" w:color="444748" w:themeColor="accent2" w:themeTint="BF"/>
          <w:bottom w:val="single" w:sz="8" w:space="0" w:color="444748" w:themeColor="accent2" w:themeTint="BF"/>
          <w:right w:val="single" w:sz="8" w:space="0" w:color="44474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3" w:themeTint="BF"/>
        <w:left w:val="single" w:sz="8" w:space="0" w:color="444748" w:themeColor="accent3" w:themeTint="BF"/>
        <w:bottom w:val="single" w:sz="8" w:space="0" w:color="444748" w:themeColor="accent3" w:themeTint="BF"/>
        <w:right w:val="single" w:sz="8" w:space="0" w:color="444748" w:themeColor="accent3" w:themeTint="BF"/>
        <w:insideH w:val="single" w:sz="8" w:space="0" w:color="444748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3" w:themeTint="BF"/>
          <w:left w:val="single" w:sz="8" w:space="0" w:color="444748" w:themeColor="accent3" w:themeTint="BF"/>
          <w:bottom w:val="single" w:sz="8" w:space="0" w:color="444748" w:themeColor="accent3" w:themeTint="BF"/>
          <w:right w:val="single" w:sz="8" w:space="0" w:color="444748" w:themeColor="accent3" w:themeTint="BF"/>
          <w:insideH w:val="nil"/>
          <w:insideV w:val="nil"/>
        </w:tcBorders>
        <w:shd w:val="clear" w:color="auto" w:fill="F4F4F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3" w:themeTint="BF"/>
          <w:left w:val="single" w:sz="8" w:space="0" w:color="444748" w:themeColor="accent3" w:themeTint="BF"/>
          <w:bottom w:val="single" w:sz="8" w:space="0" w:color="444748" w:themeColor="accent3" w:themeTint="BF"/>
          <w:right w:val="single" w:sz="8" w:space="0" w:color="44474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4" w:themeTint="BF"/>
        <w:left w:val="single" w:sz="8" w:space="0" w:color="444748" w:themeColor="accent4" w:themeTint="BF"/>
        <w:bottom w:val="single" w:sz="8" w:space="0" w:color="444748" w:themeColor="accent4" w:themeTint="BF"/>
        <w:right w:val="single" w:sz="8" w:space="0" w:color="444748" w:themeColor="accent4" w:themeTint="BF"/>
        <w:insideH w:val="single" w:sz="8" w:space="0" w:color="444748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4" w:themeTint="BF"/>
          <w:left w:val="single" w:sz="8" w:space="0" w:color="444748" w:themeColor="accent4" w:themeTint="BF"/>
          <w:bottom w:val="single" w:sz="8" w:space="0" w:color="444748" w:themeColor="accent4" w:themeTint="BF"/>
          <w:right w:val="single" w:sz="8" w:space="0" w:color="444748" w:themeColor="accent4" w:themeTint="BF"/>
          <w:insideH w:val="nil"/>
          <w:insideV w:val="nil"/>
        </w:tcBorders>
        <w:shd w:val="clear" w:color="auto" w:fill="F4F4F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4" w:themeTint="BF"/>
          <w:left w:val="single" w:sz="8" w:space="0" w:color="444748" w:themeColor="accent4" w:themeTint="BF"/>
          <w:bottom w:val="single" w:sz="8" w:space="0" w:color="444748" w:themeColor="accent4" w:themeTint="BF"/>
          <w:right w:val="single" w:sz="8" w:space="0" w:color="44474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5" w:themeTint="BF"/>
        <w:left w:val="single" w:sz="8" w:space="0" w:color="444748" w:themeColor="accent5" w:themeTint="BF"/>
        <w:bottom w:val="single" w:sz="8" w:space="0" w:color="444748" w:themeColor="accent5" w:themeTint="BF"/>
        <w:right w:val="single" w:sz="8" w:space="0" w:color="444748" w:themeColor="accent5" w:themeTint="BF"/>
        <w:insideH w:val="single" w:sz="8" w:space="0" w:color="444748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5" w:themeTint="BF"/>
          <w:left w:val="single" w:sz="8" w:space="0" w:color="444748" w:themeColor="accent5" w:themeTint="BF"/>
          <w:bottom w:val="single" w:sz="8" w:space="0" w:color="444748" w:themeColor="accent5" w:themeTint="BF"/>
          <w:right w:val="single" w:sz="8" w:space="0" w:color="444748" w:themeColor="accent5" w:themeTint="BF"/>
          <w:insideH w:val="nil"/>
          <w:insideV w:val="nil"/>
        </w:tcBorders>
        <w:shd w:val="clear" w:color="auto" w:fill="F4F4F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5" w:themeTint="BF"/>
          <w:left w:val="single" w:sz="8" w:space="0" w:color="444748" w:themeColor="accent5" w:themeTint="BF"/>
          <w:bottom w:val="single" w:sz="8" w:space="0" w:color="444748" w:themeColor="accent5" w:themeTint="BF"/>
          <w:right w:val="single" w:sz="8" w:space="0" w:color="44474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6" w:themeTint="BF"/>
        <w:left w:val="single" w:sz="8" w:space="0" w:color="444748" w:themeColor="accent6" w:themeTint="BF"/>
        <w:bottom w:val="single" w:sz="8" w:space="0" w:color="444748" w:themeColor="accent6" w:themeTint="BF"/>
        <w:right w:val="single" w:sz="8" w:space="0" w:color="444748" w:themeColor="accent6" w:themeTint="BF"/>
        <w:insideH w:val="single" w:sz="8" w:space="0" w:color="444748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6" w:themeTint="BF"/>
          <w:left w:val="single" w:sz="8" w:space="0" w:color="444748" w:themeColor="accent6" w:themeTint="BF"/>
          <w:bottom w:val="single" w:sz="8" w:space="0" w:color="444748" w:themeColor="accent6" w:themeTint="BF"/>
          <w:right w:val="single" w:sz="8" w:space="0" w:color="444748" w:themeColor="accent6" w:themeTint="BF"/>
          <w:insideH w:val="nil"/>
          <w:insideV w:val="nil"/>
        </w:tcBorders>
        <w:shd w:val="clear" w:color="auto" w:fill="F4F4F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6" w:themeTint="BF"/>
          <w:left w:val="single" w:sz="8" w:space="0" w:color="444748" w:themeColor="accent6" w:themeTint="BF"/>
          <w:bottom w:val="single" w:sz="8" w:space="0" w:color="444748" w:themeColor="accent6" w:themeTint="BF"/>
          <w:right w:val="single" w:sz="8" w:space="0" w:color="44474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4F4F4" w:themeFill="text1" w:themeFillTint="3F"/>
      </w:tcPr>
    </w:tblStylePr>
    <w:tblStylePr w:type="band1Horz">
      <w:tblPr/>
      <w:tcPr>
        <w:shd w:val="clear" w:color="auto" w:fill="F4F4F4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1"/>
        <w:bottom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1"/>
          <w:bottom w:val="single" w:sz="8" w:space="0" w:color="4447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1"/>
          <w:bottom w:val="single" w:sz="8" w:space="0" w:color="444748" w:themeColor="accent1"/>
        </w:tcBorders>
      </w:tcPr>
    </w:tblStylePr>
    <w:tblStylePr w:type="band1Vert">
      <w:tblPr/>
      <w:tcPr>
        <w:shd w:val="clear" w:color="auto" w:fill="F4F4F4" w:themeFill="accent1" w:themeFillTint="3F"/>
      </w:tcPr>
    </w:tblStylePr>
    <w:tblStylePr w:type="band1Horz">
      <w:tblPr/>
      <w:tcPr>
        <w:shd w:val="clear" w:color="auto" w:fill="F4F4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2"/>
        <w:bottom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2"/>
          <w:bottom w:val="single" w:sz="8" w:space="0" w:color="4447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2"/>
          <w:bottom w:val="single" w:sz="8" w:space="0" w:color="444748" w:themeColor="accent2"/>
        </w:tcBorders>
      </w:tcPr>
    </w:tblStylePr>
    <w:tblStylePr w:type="band1Vert">
      <w:tblPr/>
      <w:tcPr>
        <w:shd w:val="clear" w:color="auto" w:fill="F4F4F4" w:themeFill="accent2" w:themeFillTint="3F"/>
      </w:tcPr>
    </w:tblStylePr>
    <w:tblStylePr w:type="band1Horz">
      <w:tblPr/>
      <w:tcPr>
        <w:shd w:val="clear" w:color="auto" w:fill="F4F4F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3"/>
        <w:bottom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3"/>
          <w:bottom w:val="single" w:sz="8" w:space="0" w:color="44474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3"/>
          <w:bottom w:val="single" w:sz="8" w:space="0" w:color="444748" w:themeColor="accent3"/>
        </w:tcBorders>
      </w:tcPr>
    </w:tblStylePr>
    <w:tblStylePr w:type="band1Vert">
      <w:tblPr/>
      <w:tcPr>
        <w:shd w:val="clear" w:color="auto" w:fill="F4F4F4" w:themeFill="accent3" w:themeFillTint="3F"/>
      </w:tcPr>
    </w:tblStylePr>
    <w:tblStylePr w:type="band1Horz">
      <w:tblPr/>
      <w:tcPr>
        <w:shd w:val="clear" w:color="auto" w:fill="F4F4F4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4"/>
        <w:bottom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4"/>
          <w:bottom w:val="single" w:sz="8" w:space="0" w:color="44474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4"/>
          <w:bottom w:val="single" w:sz="8" w:space="0" w:color="444748" w:themeColor="accent4"/>
        </w:tcBorders>
      </w:tcPr>
    </w:tblStylePr>
    <w:tblStylePr w:type="band1Vert">
      <w:tblPr/>
      <w:tcPr>
        <w:shd w:val="clear" w:color="auto" w:fill="F4F4F4" w:themeFill="accent4" w:themeFillTint="3F"/>
      </w:tcPr>
    </w:tblStylePr>
    <w:tblStylePr w:type="band1Horz">
      <w:tblPr/>
      <w:tcPr>
        <w:shd w:val="clear" w:color="auto" w:fill="F4F4F4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5"/>
        <w:bottom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5"/>
          <w:bottom w:val="single" w:sz="8" w:space="0" w:color="44474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5"/>
          <w:bottom w:val="single" w:sz="8" w:space="0" w:color="444748" w:themeColor="accent5"/>
        </w:tcBorders>
      </w:tcPr>
    </w:tblStylePr>
    <w:tblStylePr w:type="band1Vert">
      <w:tblPr/>
      <w:tcPr>
        <w:shd w:val="clear" w:color="auto" w:fill="F4F4F4" w:themeFill="accent5" w:themeFillTint="3F"/>
      </w:tcPr>
    </w:tblStylePr>
    <w:tblStylePr w:type="band1Horz">
      <w:tblPr/>
      <w:tcPr>
        <w:shd w:val="clear" w:color="auto" w:fill="F4F4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6"/>
        <w:bottom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6"/>
          <w:bottom w:val="single" w:sz="8" w:space="0" w:color="44474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6"/>
          <w:bottom w:val="single" w:sz="8" w:space="0" w:color="444748" w:themeColor="accent6"/>
        </w:tcBorders>
      </w:tcPr>
    </w:tblStylePr>
    <w:tblStylePr w:type="band1Vert">
      <w:tblPr/>
      <w:tcPr>
        <w:shd w:val="clear" w:color="auto" w:fill="F4F4F4" w:themeFill="accent6" w:themeFillTint="3F"/>
      </w:tcPr>
    </w:tblStylePr>
    <w:tblStylePr w:type="band1Horz">
      <w:tblPr/>
      <w:tcPr>
        <w:shd w:val="clear" w:color="auto" w:fill="F4F4F4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1"/>
        <w:left w:val="single" w:sz="8" w:space="0" w:color="444748" w:themeColor="accent1"/>
        <w:bottom w:val="single" w:sz="8" w:space="0" w:color="444748" w:themeColor="accent1"/>
        <w:right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2"/>
        <w:left w:val="single" w:sz="8" w:space="0" w:color="444748" w:themeColor="accent2"/>
        <w:bottom w:val="single" w:sz="8" w:space="0" w:color="444748" w:themeColor="accent2"/>
        <w:right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3"/>
        <w:left w:val="single" w:sz="8" w:space="0" w:color="444748" w:themeColor="accent3"/>
        <w:bottom w:val="single" w:sz="8" w:space="0" w:color="444748" w:themeColor="accent3"/>
        <w:right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4"/>
        <w:left w:val="single" w:sz="8" w:space="0" w:color="444748" w:themeColor="accent4"/>
        <w:bottom w:val="single" w:sz="8" w:space="0" w:color="444748" w:themeColor="accent4"/>
        <w:right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5"/>
        <w:left w:val="single" w:sz="8" w:space="0" w:color="444748" w:themeColor="accent5"/>
        <w:bottom w:val="single" w:sz="8" w:space="0" w:color="444748" w:themeColor="accent5"/>
        <w:right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6"/>
        <w:left w:val="single" w:sz="8" w:space="0" w:color="444748" w:themeColor="accent6"/>
        <w:bottom w:val="single" w:sz="8" w:space="0" w:color="444748" w:themeColor="accent6"/>
        <w:right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text1" w:themeTint="BF"/>
        <w:left w:val="single" w:sz="8" w:space="0" w:color="444748" w:themeColor="text1" w:themeTint="BF"/>
        <w:bottom w:val="single" w:sz="8" w:space="0" w:color="444748" w:themeColor="text1" w:themeTint="BF"/>
        <w:right w:val="single" w:sz="8" w:space="0" w:color="444748" w:themeColor="text1" w:themeTint="BF"/>
        <w:insideH w:val="single" w:sz="8" w:space="0" w:color="444748" w:themeColor="text1" w:themeTint="BF"/>
        <w:insideV w:val="single" w:sz="8" w:space="0" w:color="444748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text1" w:themeFillTint="7F"/>
      </w:tcPr>
    </w:tblStylePr>
    <w:tblStylePr w:type="band1Horz">
      <w:tblPr/>
      <w:tcPr>
        <w:shd w:val="clear" w:color="auto" w:fill="F4F4F4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1" w:themeTint="BF"/>
        <w:left w:val="single" w:sz="8" w:space="0" w:color="444748" w:themeColor="accent1" w:themeTint="BF"/>
        <w:bottom w:val="single" w:sz="8" w:space="0" w:color="444748" w:themeColor="accent1" w:themeTint="BF"/>
        <w:right w:val="single" w:sz="8" w:space="0" w:color="444748" w:themeColor="accent1" w:themeTint="BF"/>
        <w:insideH w:val="single" w:sz="8" w:space="0" w:color="444748" w:themeColor="accent1" w:themeTint="BF"/>
        <w:insideV w:val="single" w:sz="8" w:space="0" w:color="444748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1" w:themeFillTint="7F"/>
      </w:tcPr>
    </w:tblStylePr>
    <w:tblStylePr w:type="band1Horz">
      <w:tblPr/>
      <w:tcPr>
        <w:shd w:val="clear" w:color="auto" w:fill="F4F4F4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2" w:themeTint="BF"/>
        <w:left w:val="single" w:sz="8" w:space="0" w:color="444748" w:themeColor="accent2" w:themeTint="BF"/>
        <w:bottom w:val="single" w:sz="8" w:space="0" w:color="444748" w:themeColor="accent2" w:themeTint="BF"/>
        <w:right w:val="single" w:sz="8" w:space="0" w:color="444748" w:themeColor="accent2" w:themeTint="BF"/>
        <w:insideH w:val="single" w:sz="8" w:space="0" w:color="444748" w:themeColor="accent2" w:themeTint="BF"/>
        <w:insideV w:val="single" w:sz="8" w:space="0" w:color="444748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7F"/>
      </w:tcPr>
    </w:tblStylePr>
    <w:tblStylePr w:type="band1Horz">
      <w:tblPr/>
      <w:tcPr>
        <w:shd w:val="clear" w:color="auto" w:fill="F4F4F4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3" w:themeTint="BF"/>
        <w:left w:val="single" w:sz="8" w:space="0" w:color="444748" w:themeColor="accent3" w:themeTint="BF"/>
        <w:bottom w:val="single" w:sz="8" w:space="0" w:color="444748" w:themeColor="accent3" w:themeTint="BF"/>
        <w:right w:val="single" w:sz="8" w:space="0" w:color="444748" w:themeColor="accent3" w:themeTint="BF"/>
        <w:insideH w:val="single" w:sz="8" w:space="0" w:color="444748" w:themeColor="accent3" w:themeTint="BF"/>
        <w:insideV w:val="single" w:sz="8" w:space="0" w:color="444748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3" w:themeFillTint="7F"/>
      </w:tcPr>
    </w:tblStylePr>
    <w:tblStylePr w:type="band1Horz">
      <w:tblPr/>
      <w:tcPr>
        <w:shd w:val="clear" w:color="auto" w:fill="F4F4F4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4" w:themeTint="BF"/>
        <w:left w:val="single" w:sz="8" w:space="0" w:color="444748" w:themeColor="accent4" w:themeTint="BF"/>
        <w:bottom w:val="single" w:sz="8" w:space="0" w:color="444748" w:themeColor="accent4" w:themeTint="BF"/>
        <w:right w:val="single" w:sz="8" w:space="0" w:color="444748" w:themeColor="accent4" w:themeTint="BF"/>
        <w:insideH w:val="single" w:sz="8" w:space="0" w:color="444748" w:themeColor="accent4" w:themeTint="BF"/>
        <w:insideV w:val="single" w:sz="8" w:space="0" w:color="444748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4" w:themeFillTint="7F"/>
      </w:tcPr>
    </w:tblStylePr>
    <w:tblStylePr w:type="band1Horz">
      <w:tblPr/>
      <w:tcPr>
        <w:shd w:val="clear" w:color="auto" w:fill="F4F4F4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5" w:themeTint="BF"/>
        <w:left w:val="single" w:sz="8" w:space="0" w:color="444748" w:themeColor="accent5" w:themeTint="BF"/>
        <w:bottom w:val="single" w:sz="8" w:space="0" w:color="444748" w:themeColor="accent5" w:themeTint="BF"/>
        <w:right w:val="single" w:sz="8" w:space="0" w:color="444748" w:themeColor="accent5" w:themeTint="BF"/>
        <w:insideH w:val="single" w:sz="8" w:space="0" w:color="444748" w:themeColor="accent5" w:themeTint="BF"/>
        <w:insideV w:val="single" w:sz="8" w:space="0" w:color="444748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5" w:themeFillTint="7F"/>
      </w:tcPr>
    </w:tblStylePr>
    <w:tblStylePr w:type="band1Horz">
      <w:tblPr/>
      <w:tcPr>
        <w:shd w:val="clear" w:color="auto" w:fill="F4F4F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6" w:themeTint="BF"/>
        <w:left w:val="single" w:sz="8" w:space="0" w:color="444748" w:themeColor="accent6" w:themeTint="BF"/>
        <w:bottom w:val="single" w:sz="8" w:space="0" w:color="444748" w:themeColor="accent6" w:themeTint="BF"/>
        <w:right w:val="single" w:sz="8" w:space="0" w:color="444748" w:themeColor="accent6" w:themeTint="BF"/>
        <w:insideH w:val="single" w:sz="8" w:space="0" w:color="444748" w:themeColor="accent6" w:themeTint="BF"/>
        <w:insideV w:val="single" w:sz="8" w:space="0" w:color="444748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6" w:themeFillTint="7F"/>
      </w:tcPr>
    </w:tblStylePr>
    <w:tblStylePr w:type="band1Horz">
      <w:tblPr/>
      <w:tcPr>
        <w:shd w:val="clear" w:color="auto" w:fill="F4F4F4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text1" w:themeFillTint="33"/>
      </w:tcPr>
    </w:tblStylePr>
    <w:tblStylePr w:type="band1Vert">
      <w:tblPr/>
      <w:tcPr>
        <w:shd w:val="clear" w:color="auto" w:fill="F4F4F4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F4F4F4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1"/>
        <w:left w:val="single" w:sz="8" w:space="0" w:color="444748" w:themeColor="accent1"/>
        <w:bottom w:val="single" w:sz="8" w:space="0" w:color="444748" w:themeColor="accent1"/>
        <w:right w:val="single" w:sz="8" w:space="0" w:color="444748" w:themeColor="accent1"/>
        <w:insideH w:val="single" w:sz="8" w:space="0" w:color="444748" w:themeColor="accent1"/>
        <w:insideV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Tint="33"/>
      </w:tcPr>
    </w:tblStylePr>
    <w:tblStylePr w:type="band1Vert">
      <w:tblPr/>
      <w:tcPr>
        <w:shd w:val="clear" w:color="auto" w:fill="F4F4F4" w:themeFill="accent1" w:themeFillTint="7F"/>
      </w:tcPr>
    </w:tblStylePr>
    <w:tblStylePr w:type="band1Horz">
      <w:tblPr/>
      <w:tcPr>
        <w:tcBorders>
          <w:insideH w:val="single" w:sz="6" w:space="0" w:color="444748" w:themeColor="accent1"/>
          <w:insideV w:val="single" w:sz="6" w:space="0" w:color="444748" w:themeColor="accent1"/>
        </w:tcBorders>
        <w:shd w:val="clear" w:color="auto" w:fill="F4F4F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2"/>
        <w:left w:val="single" w:sz="8" w:space="0" w:color="444748" w:themeColor="accent2"/>
        <w:bottom w:val="single" w:sz="8" w:space="0" w:color="444748" w:themeColor="accent2"/>
        <w:right w:val="single" w:sz="8" w:space="0" w:color="444748" w:themeColor="accent2"/>
        <w:insideH w:val="single" w:sz="8" w:space="0" w:color="444748" w:themeColor="accent2"/>
        <w:insideV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Tint="33"/>
      </w:tcPr>
    </w:tblStylePr>
    <w:tblStylePr w:type="band1Vert">
      <w:tblPr/>
      <w:tcPr>
        <w:shd w:val="clear" w:color="auto" w:fill="F4F4F4" w:themeFill="accent2" w:themeFillTint="7F"/>
      </w:tcPr>
    </w:tblStylePr>
    <w:tblStylePr w:type="band1Horz">
      <w:tblPr/>
      <w:tcPr>
        <w:tcBorders>
          <w:insideH w:val="single" w:sz="6" w:space="0" w:color="444748" w:themeColor="accent2"/>
          <w:insideV w:val="single" w:sz="6" w:space="0" w:color="444748" w:themeColor="accent2"/>
        </w:tcBorders>
        <w:shd w:val="clear" w:color="auto" w:fill="F4F4F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3"/>
        <w:left w:val="single" w:sz="8" w:space="0" w:color="444748" w:themeColor="accent3"/>
        <w:bottom w:val="single" w:sz="8" w:space="0" w:color="444748" w:themeColor="accent3"/>
        <w:right w:val="single" w:sz="8" w:space="0" w:color="444748" w:themeColor="accent3"/>
        <w:insideH w:val="single" w:sz="8" w:space="0" w:color="444748" w:themeColor="accent3"/>
        <w:insideV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Tint="33"/>
      </w:tcPr>
    </w:tblStylePr>
    <w:tblStylePr w:type="band1Vert">
      <w:tblPr/>
      <w:tcPr>
        <w:shd w:val="clear" w:color="auto" w:fill="F4F4F4" w:themeFill="accent3" w:themeFillTint="7F"/>
      </w:tcPr>
    </w:tblStylePr>
    <w:tblStylePr w:type="band1Horz">
      <w:tblPr/>
      <w:tcPr>
        <w:tcBorders>
          <w:insideH w:val="single" w:sz="6" w:space="0" w:color="444748" w:themeColor="accent3"/>
          <w:insideV w:val="single" w:sz="6" w:space="0" w:color="444748" w:themeColor="accent3"/>
        </w:tcBorders>
        <w:shd w:val="clear" w:color="auto" w:fill="F4F4F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4"/>
        <w:left w:val="single" w:sz="8" w:space="0" w:color="444748" w:themeColor="accent4"/>
        <w:bottom w:val="single" w:sz="8" w:space="0" w:color="444748" w:themeColor="accent4"/>
        <w:right w:val="single" w:sz="8" w:space="0" w:color="444748" w:themeColor="accent4"/>
        <w:insideH w:val="single" w:sz="8" w:space="0" w:color="444748" w:themeColor="accent4"/>
        <w:insideV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Tint="33"/>
      </w:tcPr>
    </w:tblStylePr>
    <w:tblStylePr w:type="band1Vert">
      <w:tblPr/>
      <w:tcPr>
        <w:shd w:val="clear" w:color="auto" w:fill="F4F4F4" w:themeFill="accent4" w:themeFillTint="7F"/>
      </w:tcPr>
    </w:tblStylePr>
    <w:tblStylePr w:type="band1Horz">
      <w:tblPr/>
      <w:tcPr>
        <w:tcBorders>
          <w:insideH w:val="single" w:sz="6" w:space="0" w:color="444748" w:themeColor="accent4"/>
          <w:insideV w:val="single" w:sz="6" w:space="0" w:color="444748" w:themeColor="accent4"/>
        </w:tcBorders>
        <w:shd w:val="clear" w:color="auto" w:fill="F4F4F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5"/>
        <w:left w:val="single" w:sz="8" w:space="0" w:color="444748" w:themeColor="accent5"/>
        <w:bottom w:val="single" w:sz="8" w:space="0" w:color="444748" w:themeColor="accent5"/>
        <w:right w:val="single" w:sz="8" w:space="0" w:color="444748" w:themeColor="accent5"/>
        <w:insideH w:val="single" w:sz="8" w:space="0" w:color="444748" w:themeColor="accent5"/>
        <w:insideV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Tint="33"/>
      </w:tcPr>
    </w:tblStylePr>
    <w:tblStylePr w:type="band1Vert">
      <w:tblPr/>
      <w:tcPr>
        <w:shd w:val="clear" w:color="auto" w:fill="F4F4F4" w:themeFill="accent5" w:themeFillTint="7F"/>
      </w:tcPr>
    </w:tblStylePr>
    <w:tblStylePr w:type="band1Horz">
      <w:tblPr/>
      <w:tcPr>
        <w:tcBorders>
          <w:insideH w:val="single" w:sz="6" w:space="0" w:color="444748" w:themeColor="accent5"/>
          <w:insideV w:val="single" w:sz="6" w:space="0" w:color="444748" w:themeColor="accent5"/>
        </w:tcBorders>
        <w:shd w:val="clear" w:color="auto" w:fill="F4F4F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6"/>
        <w:left w:val="single" w:sz="8" w:space="0" w:color="444748" w:themeColor="accent6"/>
        <w:bottom w:val="single" w:sz="8" w:space="0" w:color="444748" w:themeColor="accent6"/>
        <w:right w:val="single" w:sz="8" w:space="0" w:color="444748" w:themeColor="accent6"/>
        <w:insideH w:val="single" w:sz="8" w:space="0" w:color="444748" w:themeColor="accent6"/>
        <w:insideV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Tint="33"/>
      </w:tcPr>
    </w:tblStylePr>
    <w:tblStylePr w:type="band1Vert">
      <w:tblPr/>
      <w:tcPr>
        <w:shd w:val="clear" w:color="auto" w:fill="F4F4F4" w:themeFill="accent6" w:themeFillTint="7F"/>
      </w:tcPr>
    </w:tblStylePr>
    <w:tblStylePr w:type="band1Horz">
      <w:tblPr/>
      <w:tcPr>
        <w:tcBorders>
          <w:insideH w:val="single" w:sz="6" w:space="0" w:color="444748" w:themeColor="accent6"/>
          <w:insideV w:val="single" w:sz="6" w:space="0" w:color="444748" w:themeColor="accent6"/>
        </w:tcBorders>
        <w:shd w:val="clear" w:color="auto" w:fill="F4F4F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F4F4F4" w:themeFill="text1" w:themeFillTint="66"/>
      </w:tcPr>
    </w:tblStylePr>
    <w:tblStylePr w:type="band1Horz">
      <w:tblPr/>
      <w:tcPr>
        <w:shd w:val="clear" w:color="auto" w:fill="F4F4F4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2"/>
        <w:left w:val="single" w:sz="4" w:space="0" w:color="444748" w:themeColor="accent1"/>
        <w:bottom w:val="single" w:sz="4" w:space="0" w:color="444748" w:themeColor="accent1"/>
        <w:right w:val="single" w:sz="4" w:space="0" w:color="444748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1" w:themeShade="99"/>
          <w:insideV w:val="nil"/>
        </w:tcBorders>
        <w:shd w:val="clear" w:color="auto" w:fill="F4F4F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Shade="99"/>
      </w:tcPr>
    </w:tblStylePr>
    <w:tblStylePr w:type="band1Vert">
      <w:tblPr/>
      <w:tcPr>
        <w:shd w:val="clear" w:color="auto" w:fill="F4F4F4" w:themeFill="accent1" w:themeFillTint="66"/>
      </w:tcPr>
    </w:tblStylePr>
    <w:tblStylePr w:type="band1Horz">
      <w:tblPr/>
      <w:tcPr>
        <w:shd w:val="clear" w:color="auto" w:fill="F4F4F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2"/>
        <w:left w:val="single" w:sz="4" w:space="0" w:color="444748" w:themeColor="accent2"/>
        <w:bottom w:val="single" w:sz="4" w:space="0" w:color="444748" w:themeColor="accent2"/>
        <w:right w:val="single" w:sz="4" w:space="0" w:color="444748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2" w:themeShade="99"/>
          <w:insideV w:val="nil"/>
        </w:tcBorders>
        <w:shd w:val="clear" w:color="auto" w:fill="F4F4F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Shade="99"/>
      </w:tcPr>
    </w:tblStylePr>
    <w:tblStylePr w:type="band1Vert">
      <w:tblPr/>
      <w:tcPr>
        <w:shd w:val="clear" w:color="auto" w:fill="F4F4F4" w:themeFill="accent2" w:themeFillTint="66"/>
      </w:tcPr>
    </w:tblStylePr>
    <w:tblStylePr w:type="band1Horz">
      <w:tblPr/>
      <w:tcPr>
        <w:shd w:val="clear" w:color="auto" w:fill="F4F4F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4"/>
        <w:left w:val="single" w:sz="4" w:space="0" w:color="444748" w:themeColor="accent3"/>
        <w:bottom w:val="single" w:sz="4" w:space="0" w:color="444748" w:themeColor="accent3"/>
        <w:right w:val="single" w:sz="4" w:space="0" w:color="444748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3" w:themeShade="99"/>
          <w:insideV w:val="nil"/>
        </w:tcBorders>
        <w:shd w:val="clear" w:color="auto" w:fill="F4F4F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Shade="99"/>
      </w:tcPr>
    </w:tblStylePr>
    <w:tblStylePr w:type="band1Vert">
      <w:tblPr/>
      <w:tcPr>
        <w:shd w:val="clear" w:color="auto" w:fill="F4F4F4" w:themeFill="accent3" w:themeFillTint="66"/>
      </w:tcPr>
    </w:tblStylePr>
    <w:tblStylePr w:type="band1Horz">
      <w:tblPr/>
      <w:tcPr>
        <w:shd w:val="clear" w:color="auto" w:fill="F4F4F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3"/>
        <w:left w:val="single" w:sz="4" w:space="0" w:color="444748" w:themeColor="accent4"/>
        <w:bottom w:val="single" w:sz="4" w:space="0" w:color="444748" w:themeColor="accent4"/>
        <w:right w:val="single" w:sz="4" w:space="0" w:color="444748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4" w:themeShade="99"/>
          <w:insideV w:val="nil"/>
        </w:tcBorders>
        <w:shd w:val="clear" w:color="auto" w:fill="F4F4F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Shade="99"/>
      </w:tcPr>
    </w:tblStylePr>
    <w:tblStylePr w:type="band1Vert">
      <w:tblPr/>
      <w:tcPr>
        <w:shd w:val="clear" w:color="auto" w:fill="F4F4F4" w:themeFill="accent4" w:themeFillTint="66"/>
      </w:tcPr>
    </w:tblStylePr>
    <w:tblStylePr w:type="band1Horz">
      <w:tblPr/>
      <w:tcPr>
        <w:shd w:val="clear" w:color="auto" w:fill="F4F4F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6"/>
        <w:left w:val="single" w:sz="4" w:space="0" w:color="444748" w:themeColor="accent5"/>
        <w:bottom w:val="single" w:sz="4" w:space="0" w:color="444748" w:themeColor="accent5"/>
        <w:right w:val="single" w:sz="4" w:space="0" w:color="444748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5" w:themeShade="99"/>
          <w:insideV w:val="nil"/>
        </w:tcBorders>
        <w:shd w:val="clear" w:color="auto" w:fill="F4F4F4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Shade="99"/>
      </w:tcPr>
    </w:tblStylePr>
    <w:tblStylePr w:type="band1Vert">
      <w:tblPr/>
      <w:tcPr>
        <w:shd w:val="clear" w:color="auto" w:fill="F4F4F4" w:themeFill="accent5" w:themeFillTint="66"/>
      </w:tcPr>
    </w:tblStylePr>
    <w:tblStylePr w:type="band1Horz">
      <w:tblPr/>
      <w:tcPr>
        <w:shd w:val="clear" w:color="auto" w:fill="F4F4F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5"/>
        <w:left w:val="single" w:sz="4" w:space="0" w:color="444748" w:themeColor="accent6"/>
        <w:bottom w:val="single" w:sz="4" w:space="0" w:color="444748" w:themeColor="accent6"/>
        <w:right w:val="single" w:sz="4" w:space="0" w:color="444748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6" w:themeShade="99"/>
          <w:insideV w:val="nil"/>
        </w:tcBorders>
        <w:shd w:val="clear" w:color="auto" w:fill="F4F4F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Shade="99"/>
      </w:tcPr>
    </w:tblStylePr>
    <w:tblStylePr w:type="band1Vert">
      <w:tblPr/>
      <w:tcPr>
        <w:shd w:val="clear" w:color="auto" w:fill="F4F4F4" w:themeFill="accent6" w:themeFillTint="66"/>
      </w:tcPr>
    </w:tblStylePr>
    <w:tblStylePr w:type="band1Horz">
      <w:tblPr/>
      <w:tcPr>
        <w:shd w:val="clear" w:color="auto" w:fill="F4F4F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text1" w:themeFillTint="3F"/>
      </w:tcPr>
    </w:tblStylePr>
    <w:tblStylePr w:type="band1Horz">
      <w:tblPr/>
      <w:tcPr>
        <w:shd w:val="clear" w:color="auto" w:fill="F4F4F4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Tint="3F"/>
      </w:tcPr>
    </w:tblStylePr>
    <w:tblStylePr w:type="band1Horz">
      <w:tblPr/>
      <w:tcPr>
        <w:shd w:val="clear" w:color="auto" w:fill="F4F4F4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Tint="3F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Tint="3F"/>
      </w:tcPr>
    </w:tblStylePr>
    <w:tblStylePr w:type="band1Horz">
      <w:tblPr/>
      <w:tcPr>
        <w:shd w:val="clear" w:color="auto" w:fill="F4F4F4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Tint="3F"/>
      </w:tcPr>
    </w:tblStylePr>
    <w:tblStylePr w:type="band1Horz">
      <w:tblPr/>
      <w:tcPr>
        <w:shd w:val="clear" w:color="auto" w:fill="F4F4F4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Tint="3F"/>
      </w:tcPr>
    </w:tblStylePr>
    <w:tblStylePr w:type="band1Horz">
      <w:tblPr/>
      <w:tcPr>
        <w:shd w:val="clear" w:color="auto" w:fill="F4F4F4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Tint="3F"/>
      </w:tcPr>
    </w:tblStylePr>
    <w:tblStylePr w:type="band1Horz">
      <w:tblPr/>
      <w:tcPr>
        <w:shd w:val="clear" w:color="auto" w:fill="F4F4F4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33"/>
    </w:tcPr>
    <w:tblStylePr w:type="firstRow">
      <w:rPr>
        <w:b/>
        <w:bCs/>
      </w:rPr>
      <w:tblPr/>
      <w:tcPr>
        <w:shd w:val="clear" w:color="auto" w:fill="F4F4F4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F4F4F4" w:themeFill="text1" w:themeFillTint="7F"/>
      </w:tcPr>
    </w:tblStylePr>
    <w:tblStylePr w:type="band1Horz">
      <w:tblPr/>
      <w:tcPr>
        <w:shd w:val="clear" w:color="auto" w:fill="F4F4F4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33"/>
    </w:tcPr>
    <w:tblStylePr w:type="firstRow">
      <w:rPr>
        <w:b/>
        <w:bCs/>
      </w:rPr>
      <w:tblPr/>
      <w:tcPr>
        <w:shd w:val="clear" w:color="auto" w:fill="F4F4F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1" w:themeFillShade="BF"/>
      </w:tcPr>
    </w:tblStylePr>
    <w:tblStylePr w:type="band1Vert">
      <w:tblPr/>
      <w:tcPr>
        <w:shd w:val="clear" w:color="auto" w:fill="F4F4F4" w:themeFill="accent1" w:themeFillTint="7F"/>
      </w:tcPr>
    </w:tblStylePr>
    <w:tblStylePr w:type="band1Horz">
      <w:tblPr/>
      <w:tcPr>
        <w:shd w:val="clear" w:color="auto" w:fill="F4F4F4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33"/>
    </w:tcPr>
    <w:tblStylePr w:type="firstRow">
      <w:rPr>
        <w:b/>
        <w:bCs/>
      </w:rPr>
      <w:tblPr/>
      <w:tcPr>
        <w:shd w:val="clear" w:color="auto" w:fill="F4F4F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2" w:themeFillShade="BF"/>
      </w:tcPr>
    </w:tblStylePr>
    <w:tblStylePr w:type="band1Vert">
      <w:tblPr/>
      <w:tcPr>
        <w:shd w:val="clear" w:color="auto" w:fill="F4F4F4" w:themeFill="accent2" w:themeFillTint="7F"/>
      </w:tcPr>
    </w:tblStylePr>
    <w:tblStylePr w:type="band1Horz">
      <w:tblPr/>
      <w:tcPr>
        <w:shd w:val="clear" w:color="auto" w:fill="F4F4F4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33"/>
    </w:tcPr>
    <w:tblStylePr w:type="firstRow">
      <w:rPr>
        <w:b/>
        <w:bCs/>
      </w:rPr>
      <w:tblPr/>
      <w:tcPr>
        <w:shd w:val="clear" w:color="auto" w:fill="F4F4F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3" w:themeFillShade="BF"/>
      </w:tcPr>
    </w:tblStylePr>
    <w:tblStylePr w:type="band1Vert">
      <w:tblPr/>
      <w:tcPr>
        <w:shd w:val="clear" w:color="auto" w:fill="F4F4F4" w:themeFill="accent3" w:themeFillTint="7F"/>
      </w:tcPr>
    </w:tblStylePr>
    <w:tblStylePr w:type="band1Horz">
      <w:tblPr/>
      <w:tcPr>
        <w:shd w:val="clear" w:color="auto" w:fill="F4F4F4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33"/>
    </w:tcPr>
    <w:tblStylePr w:type="firstRow">
      <w:rPr>
        <w:b/>
        <w:bCs/>
      </w:rPr>
      <w:tblPr/>
      <w:tcPr>
        <w:shd w:val="clear" w:color="auto" w:fill="F4F4F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4" w:themeFillShade="BF"/>
      </w:tcPr>
    </w:tblStylePr>
    <w:tblStylePr w:type="band1Vert">
      <w:tblPr/>
      <w:tcPr>
        <w:shd w:val="clear" w:color="auto" w:fill="F4F4F4" w:themeFill="accent4" w:themeFillTint="7F"/>
      </w:tcPr>
    </w:tblStylePr>
    <w:tblStylePr w:type="band1Horz">
      <w:tblPr/>
      <w:tcPr>
        <w:shd w:val="clear" w:color="auto" w:fill="F4F4F4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33"/>
    </w:tcPr>
    <w:tblStylePr w:type="firstRow">
      <w:rPr>
        <w:b/>
        <w:bCs/>
      </w:rPr>
      <w:tblPr/>
      <w:tcPr>
        <w:shd w:val="clear" w:color="auto" w:fill="F4F4F4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5" w:themeFillShade="BF"/>
      </w:tcPr>
    </w:tblStylePr>
    <w:tblStylePr w:type="band1Vert">
      <w:tblPr/>
      <w:tcPr>
        <w:shd w:val="clear" w:color="auto" w:fill="F4F4F4" w:themeFill="accent5" w:themeFillTint="7F"/>
      </w:tcPr>
    </w:tblStylePr>
    <w:tblStylePr w:type="band1Horz">
      <w:tblPr/>
      <w:tcPr>
        <w:shd w:val="clear" w:color="auto" w:fill="F4F4F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33"/>
    </w:tcPr>
    <w:tblStylePr w:type="firstRow">
      <w:rPr>
        <w:b/>
        <w:bCs/>
      </w:rPr>
      <w:tblPr/>
      <w:tcPr>
        <w:shd w:val="clear" w:color="auto" w:fill="F4F4F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6" w:themeFillShade="BF"/>
      </w:tcPr>
    </w:tblStylePr>
    <w:tblStylePr w:type="band1Vert">
      <w:tblPr/>
      <w:tcPr>
        <w:shd w:val="clear" w:color="auto" w:fill="F4F4F4" w:themeFill="accent6" w:themeFillTint="7F"/>
      </w:tcPr>
    </w:tblStylePr>
    <w:tblStylePr w:type="band1Horz">
      <w:tblPr/>
      <w:tcPr>
        <w:shd w:val="clear" w:color="auto" w:fill="F4F4F4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header" Target="header1.xml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header" Target="header2.xml"/><Relationship Id="rId51" Type="http://schemas.openxmlformats.org/officeDocument/2006/relationships/footer" Target="footer2.xml"/><Relationship Id="rId52" Type="http://schemas.openxmlformats.org/officeDocument/2006/relationships/header" Target="header3.xml"/><Relationship Id="rId5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unito"/>
        <a:ea typeface="Nunito"/>
        <a:cs typeface="Nunito"/>
        <a:font script="Jpan" typeface="Nunito"/>
        <a:font script="Hang" typeface="Nunito"/>
        <a:font script="Hans" typeface="Nunito"/>
        <a:font script="Hant" typeface="Nunito"/>
        <a:font script="Arab" typeface="Nunito"/>
        <a:font script="Hebr" typeface="Nunito"/>
        <a:font script="Thai" typeface="Nunito"/>
        <a:font script="Ethi" typeface="Nunito"/>
        <a:font script="Beng" typeface="Nunito"/>
        <a:font script="Gujr" typeface="Nunito"/>
        <a:font script="Khmr" typeface="Nunito"/>
        <a:font script="Knda" typeface="Nunito"/>
        <a:font script="Guru" typeface="Nunito"/>
        <a:font script="Cans" typeface="Nunito"/>
        <a:font script="Cher" typeface="Nunito"/>
        <a:font script="Yiii" typeface="Nunito"/>
        <a:font script="Tibt" typeface="Nunito"/>
        <a:font script="Thaa" typeface="Nunito"/>
        <a:font script="Deva" typeface="Nunito"/>
        <a:font script="Telu" typeface="Nunito"/>
        <a:font script="Taml" typeface="Nunito"/>
        <a:font script="Syrc" typeface="Nunito"/>
        <a:font script="Orya" typeface="Nunito"/>
        <a:font script="Mlym" typeface="Nunito"/>
        <a:font script="Laoo" typeface="Nunito"/>
        <a:font script="Sinh" typeface="Nunito"/>
        <a:font script="Mong" typeface="Nunito"/>
        <a:font script="Viet" typeface="Nunito"/>
        <a:font script="Uigh" typeface="Nunito"/>
        <a:font script="Geor" typeface="Nunito"/>
      </a:majorFont>
      <a:minorFont>
        <a:latin typeface="Nunito"/>
        <a:ea typeface="Nunito"/>
        <a:cs typeface="Nunito"/>
        <a:font script="Jpan" typeface="Nunito"/>
        <a:font script="Hang" typeface="Nunito"/>
        <a:font script="Hans" typeface="Nunito"/>
        <a:font script="Hant" typeface="Nunito"/>
        <a:font script="Arab" typeface="Nunito"/>
        <a:font script="Hebr" typeface="Nunito"/>
        <a:font script="Thai" typeface="Nunito"/>
        <a:font script="Ethi" typeface="Nunito"/>
        <a:font script="Beng" typeface="Nunito"/>
        <a:font script="Gujr" typeface="Nunito"/>
        <a:font script="Khmr" typeface="Nunito"/>
        <a:font script="Knda" typeface="Nunito"/>
        <a:font script="Guru" typeface="Nunito"/>
        <a:font script="Cans" typeface="Nunito"/>
        <a:font script="Cher" typeface="Nunito"/>
        <a:font script="Yiii" typeface="Nunito"/>
        <a:font script="Tibt" typeface="Nunito"/>
        <a:font script="Thaa" typeface="Nunito"/>
        <a:font script="Deva" typeface="Nunito"/>
        <a:font script="Telu" typeface="Nunito"/>
        <a:font script="Taml" typeface="Nunito"/>
        <a:font script="Syrc" typeface="Nunito"/>
        <a:font script="Orya" typeface="Nunito"/>
        <a:font script="Mlym" typeface="Nunito"/>
        <a:font script="Laoo" typeface="Nunito"/>
        <a:font script="Sinh" typeface="Nunito"/>
        <a:font script="Mong" typeface="Nunito"/>
        <a:font script="Viet" typeface="Nunito"/>
        <a:font script="Uigh" typeface="Nunito"/>
        <a:font script="Geor" typeface="Nunit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lIns="76200" rIns="76200" tIns="76200" bIns="76200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 lIns="76200" rIns="76200" tIns="76200" bIns="76200"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FunniFin Workshop Planner - Manuale Utente</dc:title>
  <dc:subject>Manuale utente aggiornato per Cliente, FunniFin, Esperto e Brand</dc:subject>
  <dc:creator>FunniFin</dc:creator>
  <cp:keywords/>
  <dc:description>Manuale ufficiale FunniFin con stile visivo allineato ai token dell’app.</dc:description>
  <cp:lastModifiedBy/>
  <cp:revision>2</cp:revision>
  <dcterms:created xsi:type="dcterms:W3CDTF">2026-06-18T12:00:00Z</dcterms:created>
  <dcterms:modified xsi:type="dcterms:W3CDTF">2026-06-18T20:15:02Z</dcterms:modified>
  <cp:category/>
</cp:coreProperties>
</file>