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862A" w14:textId="77777777" w:rsidR="00982BFD" w:rsidRDefault="009A5443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C3E109" w14:textId="77777777" w:rsidR="00982BFD" w:rsidRDefault="009A5443">
      <w:pPr>
        <w:tabs>
          <w:tab w:val="center" w:pos="7374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79CDFC6" w14:textId="77777777" w:rsidR="00982BFD" w:rsidRDefault="009A5443">
      <w:pPr>
        <w:tabs>
          <w:tab w:val="center" w:pos="736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841900A" w14:textId="77777777" w:rsidR="00982BFD" w:rsidRDefault="009A54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3F92B2" w14:textId="77777777" w:rsidR="00982BFD" w:rsidRDefault="009A5443">
      <w:pPr>
        <w:spacing w:after="0"/>
        <w:ind w:left="2597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82BFD" w14:paraId="41EDD56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7FF1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8331E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982BFD" w14:paraId="7442064F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792D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AC5B" w14:textId="6A8D0BA4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PNT2022TMID23946</w:t>
            </w:r>
          </w:p>
        </w:tc>
      </w:tr>
      <w:tr w:rsidR="00982BFD" w14:paraId="61DBBC42" w14:textId="77777777">
        <w:trPr>
          <w:trHeight w:val="5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EA14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D1F7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Inventory Management System for Retailers </w:t>
            </w:r>
          </w:p>
        </w:tc>
      </w:tr>
      <w:tr w:rsidR="00982BFD" w14:paraId="4E2069B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0D6A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6264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C84BE6A" w14:textId="77777777" w:rsidR="00982BFD" w:rsidRDefault="009A544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89CB0B" w14:textId="77777777" w:rsidR="00982BFD" w:rsidRDefault="009A5443">
      <w:pPr>
        <w:spacing w:after="1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3F1301" w14:textId="77777777" w:rsidR="00982BFD" w:rsidRDefault="009A5443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</w:t>
      </w:r>
      <w:r>
        <w:rPr>
          <w:rFonts w:ascii="Arial" w:eastAsia="Arial" w:hAnsi="Arial" w:cs="Arial"/>
          <w:b/>
        </w:rPr>
        <w:t xml:space="preserve">Architecture: </w:t>
      </w:r>
    </w:p>
    <w:p w14:paraId="5EC8D511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9A2E6DC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97F5F29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728E8D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D364DA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D0F0CA" w14:textId="77777777" w:rsidR="00982BFD" w:rsidRDefault="009A5443">
      <w:pPr>
        <w:spacing w:after="42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5DB236F2" w14:textId="77777777" w:rsidR="00982BFD" w:rsidRDefault="009A5443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8E30CCC" wp14:editId="096EA82F">
            <wp:extent cx="5820157" cy="2656332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157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8F2B948" w14:textId="77777777" w:rsidR="00982BFD" w:rsidRDefault="009A5443">
      <w:pPr>
        <w:spacing w:after="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2BAD10E" w14:textId="77777777" w:rsidR="00982BFD" w:rsidRDefault="009A5443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43F2CE04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1" w:type="dxa"/>
        <w:tblInd w:w="106" w:type="dxa"/>
        <w:tblCellMar>
          <w:top w:w="4" w:type="dxa"/>
          <w:left w:w="110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836"/>
        <w:gridCol w:w="4009"/>
        <w:gridCol w:w="5403"/>
        <w:gridCol w:w="3953"/>
      </w:tblGrid>
      <w:tr w:rsidR="00982BFD" w14:paraId="6A44D8C6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57AD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B16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E2C6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68FF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82BFD" w14:paraId="5F448CD0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1CF0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0A70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5037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Through web application, the information processed will be sent to the user via mail.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2C8A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HTML, CSS, jQuery, JavaScript, python, etc. </w:t>
            </w:r>
          </w:p>
        </w:tc>
      </w:tr>
      <w:tr w:rsidR="00982BFD" w14:paraId="2C15D57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E9DE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CF79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Application Logic-1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4F64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registration through form and confirmation  will be sent to the user via email.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8186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Flask, SendGrid </w:t>
            </w:r>
          </w:p>
        </w:tc>
      </w:tr>
      <w:tr w:rsidR="00982BFD" w14:paraId="5930CCDA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CDC9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8CC2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Application Logic-2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C82A" w14:textId="77777777" w:rsidR="00982BFD" w:rsidRDefault="009A5443">
            <w:pPr>
              <w:spacing w:after="5"/>
            </w:pPr>
            <w:r>
              <w:rPr>
                <w:rFonts w:ascii="Arial" w:eastAsia="Arial" w:hAnsi="Arial" w:cs="Arial"/>
                <w:sz w:val="20"/>
              </w:rPr>
              <w:t xml:space="preserve">Dashboard is used by which the system will </w:t>
            </w:r>
          </w:p>
          <w:p w14:paraId="7FB1DD5A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Maintain tracking of sales of product and inventory  levels.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CDB0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Flask </w:t>
            </w:r>
          </w:p>
        </w:tc>
      </w:tr>
      <w:tr w:rsidR="00982BFD" w14:paraId="28008EA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A0F6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C811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Application Logic-3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380D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will get notified about the stock status.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1892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Flask </w:t>
            </w:r>
          </w:p>
        </w:tc>
      </w:tr>
      <w:tr w:rsidR="00982BFD" w14:paraId="69891034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6395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11B5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5100" w14:textId="77777777" w:rsidR="00982BFD" w:rsidRDefault="009A5443">
            <w:pPr>
              <w:spacing w:after="0"/>
              <w:ind w:right="753"/>
            </w:pPr>
            <w:r>
              <w:rPr>
                <w:rFonts w:ascii="Arial" w:eastAsia="Arial" w:hAnsi="Arial" w:cs="Arial"/>
                <w:sz w:val="20"/>
              </w:rPr>
              <w:t xml:space="preserve">The data can be stored in database and user  can retrieve or manipulate the data </w:t>
            </w:r>
            <w:r>
              <w:rPr>
                <w:rFonts w:ascii="Arial" w:eastAsia="Arial" w:hAnsi="Arial" w:cs="Arial"/>
                <w:sz w:val="20"/>
              </w:rPr>
              <w:t xml:space="preserve">whenever required.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5DC3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DB2. </w:t>
            </w:r>
          </w:p>
        </w:tc>
      </w:tr>
      <w:tr w:rsidR="00982BFD" w14:paraId="50AC60DF" w14:textId="77777777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793A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6.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73DA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Cloud Database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1424" w14:textId="77777777" w:rsidR="00982BFD" w:rsidRDefault="009A5443">
            <w:pPr>
              <w:spacing w:after="0"/>
              <w:ind w:right="500"/>
            </w:pPr>
            <w:r>
              <w:rPr>
                <w:rFonts w:ascii="Arial" w:eastAsia="Arial" w:hAnsi="Arial" w:cs="Arial"/>
                <w:sz w:val="20"/>
              </w:rPr>
              <w:t xml:space="preserve">Information of the stocks will be stored and hosted  on the cloud.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676C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DB2. </w:t>
            </w:r>
          </w:p>
        </w:tc>
      </w:tr>
      <w:tr w:rsidR="00982BFD" w14:paraId="7582FC12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37BD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F048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File Storage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AA7C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Requirements to store files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449C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Block Storage or Other Storage Service or Local File system </w:t>
            </w:r>
          </w:p>
        </w:tc>
      </w:tr>
      <w:tr w:rsidR="00982BFD" w14:paraId="625E96A0" w14:textId="77777777">
        <w:trPr>
          <w:trHeight w:val="51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31DB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E6704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External API-1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D0BA" w14:textId="77777777" w:rsidR="00982BFD" w:rsidRDefault="009A5443">
            <w:pPr>
              <w:spacing w:after="0"/>
              <w:ind w:right="542"/>
            </w:pPr>
            <w:r>
              <w:rPr>
                <w:rFonts w:ascii="Arial" w:eastAsia="Arial" w:hAnsi="Arial" w:cs="Arial"/>
                <w:sz w:val="20"/>
              </w:rPr>
              <w:t xml:space="preserve">SendGrid used in application will send the email alert if there is less number or no stock to the user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6C54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SendGrid </w:t>
            </w:r>
          </w:p>
        </w:tc>
      </w:tr>
      <w:tr w:rsidR="00982BFD" w14:paraId="32968E62" w14:textId="77777777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563C" w14:textId="77777777" w:rsidR="00982BFD" w:rsidRDefault="009A5443">
            <w:pPr>
              <w:spacing w:after="0"/>
              <w:ind w:left="99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A1B07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External API-2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D693" w14:textId="77777777" w:rsidR="00982BFD" w:rsidRDefault="009A5443">
            <w:pPr>
              <w:spacing w:after="0"/>
              <w:ind w:right="392"/>
            </w:pPr>
            <w:r>
              <w:rPr>
                <w:rFonts w:ascii="Arial" w:eastAsia="Arial" w:hAnsi="Arial" w:cs="Arial"/>
                <w:sz w:val="20"/>
              </w:rPr>
              <w:t xml:space="preserve">IBM container Registry enables you to store and </w:t>
            </w:r>
            <w:r>
              <w:rPr>
                <w:rFonts w:ascii="Arial" w:eastAsia="Arial" w:hAnsi="Arial" w:cs="Arial"/>
                <w:sz w:val="20"/>
              </w:rPr>
              <w:t xml:space="preserve">distribute Docker images in a managed private registry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A8FB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container registry </w:t>
            </w:r>
          </w:p>
        </w:tc>
      </w:tr>
      <w:tr w:rsidR="00982BFD" w14:paraId="0DEF8962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2057" w14:textId="77777777" w:rsidR="00982BFD" w:rsidRDefault="009A5443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822B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Machine Learning Model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A04A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Purpose of Machine Learning Model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E33E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Object Recognition Model, etc. </w:t>
            </w:r>
          </w:p>
        </w:tc>
      </w:tr>
      <w:tr w:rsidR="00982BFD" w14:paraId="2457817E" w14:textId="77777777">
        <w:trPr>
          <w:trHeight w:val="77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2F7F" w14:textId="77777777" w:rsidR="00982BFD" w:rsidRDefault="009A5443">
            <w:pPr>
              <w:spacing w:after="0"/>
              <w:ind w:right="60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EC23" w14:textId="77777777" w:rsidR="00982BFD" w:rsidRDefault="009A5443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Infrastructure (Server / Cloud) </w:t>
            </w:r>
          </w:p>
        </w:tc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BBC1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Application Deployment on Local System / Cloud Local </w:t>
            </w:r>
          </w:p>
          <w:p w14:paraId="03CAA812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Server Configuration:localhost:5001(Flask) </w:t>
            </w:r>
          </w:p>
          <w:p w14:paraId="109E5C8F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Cloud Server Configuration : Kubernetes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F43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Local, Cloud Foundry, Kubernetes, etc. </w:t>
            </w:r>
          </w:p>
        </w:tc>
      </w:tr>
    </w:tbl>
    <w:p w14:paraId="4C0F826F" w14:textId="77777777" w:rsidR="00982BFD" w:rsidRDefault="009A5443">
      <w:pPr>
        <w:spacing w:after="9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A0BB6FE" w14:textId="77777777" w:rsidR="00982BFD" w:rsidRDefault="009A5443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7E77D981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064" w:type="dxa"/>
        <w:tblInd w:w="106" w:type="dxa"/>
        <w:tblCellMar>
          <w:top w:w="4" w:type="dxa"/>
          <w:left w:w="113" w:type="dxa"/>
          <w:bottom w:w="0" w:type="dxa"/>
          <w:right w:w="147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982BFD" w14:paraId="10B5F3CA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22A6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0CA6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2E0C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5202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82BFD" w14:paraId="6F31645E" w14:textId="77777777">
        <w:trPr>
          <w:trHeight w:val="102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56CA" w14:textId="77777777" w:rsidR="00982BFD" w:rsidRDefault="009A5443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506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AF26" w14:textId="77777777" w:rsidR="00982BFD" w:rsidRDefault="009A5443">
            <w:pPr>
              <w:spacing w:after="0"/>
              <w:ind w:left="2" w:right="195"/>
            </w:pPr>
            <w:r>
              <w:rPr>
                <w:rFonts w:ascii="Arial" w:eastAsia="Arial" w:hAnsi="Arial" w:cs="Arial"/>
                <w:sz w:val="20"/>
              </w:rPr>
              <w:t xml:space="preserve">SendGrid will send email alert, if there is less number of stock to user, Kubernetes for manipulating Kubernetes API objects, IBM DB2 is used for storing and retrieving the data </w:t>
            </w:r>
            <w:r>
              <w:rPr>
                <w:rFonts w:ascii="Arial" w:eastAsia="Arial" w:hAnsi="Arial" w:cs="Arial"/>
                <w:sz w:val="20"/>
              </w:rPr>
              <w:t xml:space="preserve">efficiently.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38F3" w14:textId="77777777" w:rsidR="00982BFD" w:rsidRDefault="009A5443">
            <w:pPr>
              <w:spacing w:after="0"/>
              <w:ind w:left="2" w:right="415"/>
            </w:pPr>
            <w:r>
              <w:rPr>
                <w:rFonts w:ascii="Arial" w:eastAsia="Arial" w:hAnsi="Arial" w:cs="Arial"/>
                <w:sz w:val="20"/>
              </w:rPr>
              <w:t xml:space="preserve">Flask, SendGrid, IBM DB2, Kubernetes </w:t>
            </w:r>
          </w:p>
        </w:tc>
      </w:tr>
      <w:tr w:rsidR="00982BFD" w14:paraId="14B9B2CB" w14:textId="77777777">
        <w:trPr>
          <w:trHeight w:val="52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5CCA" w14:textId="77777777" w:rsidR="00982BFD" w:rsidRDefault="009A5443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87ED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6112" w14:textId="77777777" w:rsidR="00982BFD" w:rsidRDefault="009A5443">
            <w:pPr>
              <w:spacing w:after="0"/>
              <w:ind w:left="2" w:right="306"/>
            </w:pPr>
            <w:r>
              <w:rPr>
                <w:rFonts w:ascii="Arial" w:eastAsia="Arial" w:hAnsi="Arial" w:cs="Arial"/>
                <w:sz w:val="20"/>
              </w:rPr>
              <w:t xml:space="preserve">We use login for the user and the information will be hashed so that it will be very secure to use.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BE70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IBM container registry. </w:t>
            </w:r>
          </w:p>
        </w:tc>
      </w:tr>
      <w:tr w:rsidR="00982BFD" w14:paraId="767BEC2A" w14:textId="77777777">
        <w:trPr>
          <w:trHeight w:val="51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E300" w14:textId="77777777" w:rsidR="00982BFD" w:rsidRDefault="009A5443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34E5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EA04" w14:textId="77777777" w:rsidR="00982BFD" w:rsidRDefault="009A5443">
            <w:pPr>
              <w:spacing w:after="0"/>
              <w:ind w:left="2" w:right="51"/>
            </w:pPr>
            <w:r>
              <w:rPr>
                <w:rFonts w:ascii="Arial" w:eastAsia="Arial" w:hAnsi="Arial" w:cs="Arial"/>
                <w:sz w:val="20"/>
              </w:rPr>
              <w:t xml:space="preserve">It is </w:t>
            </w:r>
            <w:r>
              <w:rPr>
                <w:rFonts w:ascii="Arial" w:eastAsia="Arial" w:hAnsi="Arial" w:cs="Arial"/>
                <w:sz w:val="20"/>
              </w:rPr>
              <w:t xml:space="preserve">scalable that we are going to use data in kb so that the quite amount of storage is satisfied.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7777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Flask </w:t>
            </w:r>
          </w:p>
        </w:tc>
      </w:tr>
      <w:tr w:rsidR="00982BFD" w14:paraId="29FCD175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0298" w14:textId="77777777" w:rsidR="00982BFD" w:rsidRDefault="009A5443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3418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6360" w14:textId="77777777" w:rsidR="00982BFD" w:rsidRDefault="009A5443">
            <w:pPr>
              <w:spacing w:after="0"/>
              <w:ind w:left="2" w:right="33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Prediction will be available for every user but only for </w:t>
            </w:r>
            <w:r>
              <w:rPr>
                <w:rFonts w:ascii="Arial" w:eastAsia="Arial" w:hAnsi="Arial" w:cs="Arial"/>
                <w:sz w:val="20"/>
              </w:rPr>
              <w:t xml:space="preserve">premium user news, database and price alert will be alert.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0782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Flask. </w:t>
            </w:r>
          </w:p>
        </w:tc>
      </w:tr>
      <w:tr w:rsidR="00982BFD" w14:paraId="67ACF57D" w14:textId="77777777">
        <w:trPr>
          <w:trHeight w:val="51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3710" w14:textId="77777777" w:rsidR="00982BFD" w:rsidRDefault="009A5443">
            <w:pPr>
              <w:spacing w:after="0"/>
              <w:ind w:left="190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5E8C" w14:textId="77777777" w:rsidR="00982BFD" w:rsidRDefault="009A544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CC65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It will perform fast and secure even at the lower bandwidth.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06A0" w14:textId="77777777" w:rsidR="00982BFD" w:rsidRDefault="009A544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Flask, IBM container registry, IBM DB2. </w:t>
            </w:r>
          </w:p>
        </w:tc>
      </w:tr>
    </w:tbl>
    <w:p w14:paraId="715297F8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089D03F3" w14:textId="77777777" w:rsidR="00982BFD" w:rsidRDefault="009A5443">
      <w:pPr>
        <w:spacing w:after="1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AAD48B0" w14:textId="77777777" w:rsidR="00982BFD" w:rsidRDefault="009A5443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4CA3F63" w14:textId="77777777" w:rsidR="00982BFD" w:rsidRDefault="009A5443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4DEE7C53" w14:textId="77777777" w:rsidR="00982BFD" w:rsidRDefault="009A5443">
      <w:pPr>
        <w:spacing w:after="155"/>
        <w:ind w:left="96" w:hanging="10"/>
      </w:pPr>
      <w:hyperlink r:id="rId5">
        <w:r>
          <w:rPr>
            <w:rFonts w:ascii="Arial" w:eastAsia="Arial" w:hAnsi="Arial" w:cs="Arial"/>
            <w:b/>
            <w:color w:val="0462C1"/>
            <w:u w:val="single" w:color="0462C1"/>
          </w:rPr>
          <w:t>https://c4model.com/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</w:p>
    <w:p w14:paraId="5124614E" w14:textId="77777777" w:rsidR="00982BFD" w:rsidRDefault="009A5443">
      <w:pPr>
        <w:spacing w:after="3" w:line="410" w:lineRule="auto"/>
        <w:ind w:left="96" w:right="2945" w:hanging="10"/>
      </w:pPr>
      <w:hyperlink r:id="rId7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https://developer.ibm.com/patterns/online</w:t>
        </w:r>
      </w:hyperlink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pandemic/</w:t>
        </w:r>
      </w:hyperlink>
      <w:hyperlink r:id="rId18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9">
        <w:r>
          <w:rPr>
            <w:rFonts w:ascii="Arial" w:eastAsia="Arial" w:hAnsi="Arial" w:cs="Arial"/>
            <w:b/>
            <w:color w:val="0462C1"/>
            <w:u w:val="single" w:color="0462C1"/>
          </w:rPr>
          <w:t>https://www.ibm.com/cloud/architecture</w:t>
        </w:r>
      </w:hyperlink>
      <w:hyperlink r:id="rId20">
        <w:r>
          <w:rPr>
            <w:rFonts w:ascii="Arial" w:eastAsia="Arial" w:hAnsi="Arial" w:cs="Arial"/>
            <w:b/>
          </w:rPr>
          <w:t xml:space="preserve"> 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https://aws.amazon.com/architecture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7BB5CF6A" w14:textId="77777777" w:rsidR="00982BFD" w:rsidRDefault="009A5443">
      <w:pPr>
        <w:spacing w:after="3"/>
        <w:ind w:left="96" w:hanging="10"/>
      </w:pPr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https://medium.com/the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internal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startup/how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draw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useful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technical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architectur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e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diagrams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2d20c9fda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90d</w:t>
        </w:r>
      </w:hyperlink>
      <w:hyperlink r:id="rId42">
        <w:r>
          <w:rPr>
            <w:rFonts w:ascii="Arial" w:eastAsia="Arial" w:hAnsi="Arial" w:cs="Arial"/>
            <w:b/>
          </w:rPr>
          <w:t xml:space="preserve"> </w:t>
        </w:r>
      </w:hyperlink>
    </w:p>
    <w:sectPr w:rsidR="00982BFD">
      <w:pgSz w:w="16841" w:h="11911" w:orient="landscape"/>
      <w:pgMar w:top="1101" w:right="3526" w:bottom="206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FD"/>
    <w:rsid w:val="00982BFD"/>
    <w:rsid w:val="009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9006"/>
  <w15:docId w15:val="{EA0D776B-1921-429C-83F3-ABD52516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9" Type="http://schemas.openxmlformats.org/officeDocument/2006/relationships/hyperlink" Target="https://medium.com/the-internal-startup/how-to-draw-useful-technical-architecture-diagrams-2d20c9fda90d" TargetMode="External"/><Relationship Id="rId21" Type="http://schemas.openxmlformats.org/officeDocument/2006/relationships/hyperlink" Target="https://aws.amazon.com/architecture" TargetMode="External"/><Relationship Id="rId34" Type="http://schemas.openxmlformats.org/officeDocument/2006/relationships/hyperlink" Target="https://medium.com/the-internal-startup/how-to-draw-useful-technical-architecture-diagrams-2d20c9fda90d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www.ibm.com/cloud/architecture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41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hyperlink" Target="https://medium.com/the-internal-startup/how-to-draw-useful-technical-architecture-diagrams-2d20c9fda90d" TargetMode="External"/><Relationship Id="rId37" Type="http://schemas.openxmlformats.org/officeDocument/2006/relationships/hyperlink" Target="https://medium.com/the-internal-startup/how-to-draw-useful-technical-architecture-diagrams-2d20c9fda90d" TargetMode="External"/><Relationship Id="rId40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c4model.com/" TargetMode="External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36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www.ibm.com/cloud/architecture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aws.amazon.com/architecture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35" Type="http://schemas.openxmlformats.org/officeDocument/2006/relationships/hyperlink" Target="https://medium.com/the-internal-startup/how-to-draw-useful-technical-architecture-diagrams-2d20c9fda90d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hyperlink" Target="https://medium.com/the-internal-startup/how-to-draw-useful-technical-architecture-diagrams-2d20c9fda90d" TargetMode="External"/><Relationship Id="rId38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Rilwan .</cp:lastModifiedBy>
  <cp:revision>2</cp:revision>
  <dcterms:created xsi:type="dcterms:W3CDTF">2022-10-18T13:03:00Z</dcterms:created>
  <dcterms:modified xsi:type="dcterms:W3CDTF">2022-10-18T13:03:00Z</dcterms:modified>
</cp:coreProperties>
</file>