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Išsami Žmogaus Bioenergetikos ir Mitybos Poreikių Vertinimo Analizė: Metodologijos, Fiziologiniai Mechanizmai ir Klinikinės Implikacijos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Bioenergetikos Pagrindai ir Žmogaus Energijos Apykaitos Konceptualizavimas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Žmogaus organizmas, vertinamas termodinaminės fizikos perspektyvoje, yra atvira biologinė sistema, kurios egzistencija priklauso nuo nuolatinio energijos mainų su aplinka proceso. Bioenergetika, kaip mokslas, tiria energijos transformacijos dėsningumus gyvosiose sistemose, ir šie dėsniai sudaro fundamentinį pagrindą šiuolaikinei dietologijai, sporto fiziologijai bei klinikinei mitybai. Energijos balanso lygtis, nors iš pažiūros paprasta – energijos suvartojimas (Energy Intake - EI) minus energijos išeikvojimas (Energy Expenditure - EE) lygus energijos atsargų pokyčiui (Change in Energy Stores - ES) – slepia savyje sudėtingus fiziologinius reguliavimo mechanizmus, hormoninius atsakus ir metabolines adaptacijas.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Tiksli energijos poreikių nustatymo metodologija yra kritiškai svarbi ne tik nutukimo gydymui ar sportinių rezultatų gerinimui, bet ir gyvybinių funkcijų palaikymui kritinėse klinikinėse būklėse. Klaidingas energijos poreikių įvertinimas gali lemti "refeding" sindromą, raumenų atrofiją (sarkopeniją), imuninės sistemos slopinimą ar metabolinio sindromo progresavimą. Todėl šioje ataskaitoje, remiantis naujausiais moksliniais tyrimais ir autoritetingų organizacijų (PSO, FAO, IOM, ISSN) gairėmis, bus detaliai išanalizuoti visi Bendrosios Energijos Sąnaudų (Total Energy Expenditure - TEE) komponentai.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TEE yra sudarytas iš trijų pagrindinių, fiziologiškai skirtingų komponentų, kurių kiekvienas reikalauja specifinio vertinimo metodo: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Bazinė medžiagų apykaita (BMR) arba Ramybės būsenos medžiagų apykaita (RMR):</w:t>
      </w:r>
      <w:r w:rsidDel="00000000" w:rsidR="00000000" w:rsidRPr="00000000">
        <w:rPr>
          <w:rFonts w:ascii="Google Sans Text" w:cs="Google Sans Text" w:eastAsia="Google Sans Text" w:hAnsi="Google Sans Text"/>
          <w:color w:val="1f1f1f"/>
          <w:rtl w:val="0"/>
        </w:rPr>
        <w:t xml:space="preserve"> Tai energijos kiekis, sunaudojamas homeostazei palaikyti visiškoje ramybėje.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Maisto terminis efektas (TEF):</w:t>
      </w:r>
      <w:r w:rsidDel="00000000" w:rsidR="00000000" w:rsidRPr="00000000">
        <w:rPr>
          <w:rFonts w:ascii="Google Sans Text" w:cs="Google Sans Text" w:eastAsia="Google Sans Text" w:hAnsi="Google Sans Text"/>
          <w:color w:val="1f1f1f"/>
          <w:rtl w:val="0"/>
        </w:rPr>
        <w:t xml:space="preserve"> Tai energijos sąnaudos, susijusios su maistinių medžiagų metabolizmu.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Fizinio aktyvumo energijos sąnaudos (PAEE):</w:t>
      </w:r>
      <w:r w:rsidDel="00000000" w:rsidR="00000000" w:rsidRPr="00000000">
        <w:rPr>
          <w:rFonts w:ascii="Google Sans Text" w:cs="Google Sans Text" w:eastAsia="Google Sans Text" w:hAnsi="Google Sans Text"/>
          <w:color w:val="1f1f1f"/>
          <w:rtl w:val="0"/>
        </w:rPr>
        <w:t xml:space="preserve"> Tai energija, skirta valingam ir nevalingam raumenų darbui, vertinama per Fizinio Aktyvumo Lygio (PAL) koeficientus.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nuosekliai nagrinės kiekvieną iš šių kintamųjų, pradedant nuo matematinių modelių (lygčių) tikslumo analizės ir baigiant praktinėmis manipuliacijomis makroelementais siekiant specifinių kūno kompozicijos tikslų.</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Bazinės Medžiagų Apykaitos (BMR/RMR) Nustatymo Metodikos ir Predikcinės Lygtys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Bazinė medžiagų apykaita (BMR) sudaro didžiausią paros energijos išeikvojimo dalį – apie 60–75 % sėdimą darbą dirbantiems asmenims. Tai yra energijos kiekis, reikalingas ląstelių membranų potencialui palaikyti, baltymų sintezei, širdies ir kraujagyslių sistemos darbui bei kvėpavimo funkcijai užtikrinti termoneutralioje aplinkoje, po 12 valandų badavimo ir visiškoje ramybėje. Ramybės būsenos medžiagų apykaita (RMR) yra šiek tiek mažiau griežtas rodiklis, matuojamas be griežto badavimo ar nakvynės klinikoje reikalavimo, ir paprastai yra apie 10–20 % didesnis už BMR dėl minimalaus fizinio aktyvumo ir liekamojo maisto terminio efekto, tačiau klinikinėje praktikoje šie terminai dažnai naudojami kaip sinonimai.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"auksinis standartas" energijos sąnaudų matavimui yra netiesioginė kalorimetrija (indirect calorimetry), matuojanti dujų apykaitą (O2 suvartojimą ir CO2 išskyrimą), ji reikalauja brangios įrangos ir kvalifikuoto personalo. Todėl mokslo bendruomenė sukūrė predikcines lygtis, kurios leidžia įvertinti RMR remiantis antropometriniais duomenimis (svoriu, ūgiu, amžiumi, lytimi). Šioje dalyje detaliai analizuojamos dvi svarbiausios lygtys: Mifflin-St Jeor ir Harris-Benedict.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Mifflin-St Jeor Lygtis: Šiuolaikinis Auksinis Standartas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1990 metais mokslininkų grupė, vadovaujama M. D. Mifflin ir S. T. St Jeor, publikavo studiją </w:t>
      </w:r>
      <w:r w:rsidDel="00000000" w:rsidR="00000000" w:rsidRPr="00000000">
        <w:rPr>
          <w:rFonts w:ascii="Google Sans Text" w:cs="Google Sans Text" w:eastAsia="Google Sans Text" w:hAnsi="Google Sans Text"/>
          <w:i w:val="1"/>
          <w:iCs w:val="1"/>
          <w:color w:val="1f1f1f"/>
          <w:rtl w:val="0"/>
        </w:rPr>
        <w:t xml:space="preserve">American Journal of Clinical Nutrition</w:t>
      </w:r>
      <w:r w:rsidDel="00000000" w:rsidR="00000000" w:rsidRPr="00000000">
        <w:rPr>
          <w:rFonts w:ascii="Google Sans Text" w:cs="Google Sans Text" w:eastAsia="Google Sans Text" w:hAnsi="Google Sans Text"/>
          <w:color w:val="1f1f1f"/>
          <w:rtl w:val="0"/>
        </w:rPr>
        <w:t xml:space="preserve">, kurioje pristatė naują lygtį. Ši formulė buvo sukurta siekiant išspręsti senesnių lygčių netikslumus, ypač vertinant šiuolaikinę populiaciją, kurioje nutukimo paplitimas yra žymiai didesnis nei XX a. pradžioje.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Mokslinis Pagrindimas ir Validacija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Mifflin-St Jeor lygtis buvo išvesta remiantis 498 sveikų suaugusiųjų (247 moterys ir 251 vyras) duomenimis. Tiriamųjų amžius svyravo nuo 19 iki 78 metų (vidurkis 45 ± 14 metų). Svarbu pažymėti, kad imtis buvo subalansuota pagal kūno masės indeksą (KMI): joje buvo tiek normalaus svorio ($n=264$), tiek nutukusių ($n=234$) asmenų. RMR buvo tiesiogiai matuojamas naudojant netiesioginę kalorimetriją, kas užtikrino aukštą duomenų patikimumą.</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Daugialypės regresijos analizė parodė stiprų koreliacijos koeficientą ($R^2 = 0.71$) tarp išvestos lygties ir matuojamų verčių. Lyginamieji tyrimai, atlikti vėlesniais dešimtmečiais, nuosekliai patvirtino, kad Mifflin-St Jeor lygtis yra tiksliausia priemonė RMR vertinimui nutukusiems ir antsvorio turintiems asmenims. Amerikos dietologų asociacijos (Academy of Nutrition and Dietetics) atlikta sisteminė apžvalga parodė, kad ši lygtis dažniau nei kitos (pvz., Harris-Benedict, Owen) prognozuoja RMR su mažesne nei 10 % paklaida nuo faktiškai išmatuoto dydžio.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Matematinė Lygties Struktūra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Mifflin-St Jeor lygtis remiasi metrine sistema. Koeficientų dydžiai atspindi kiekvieno kintamojo metabolinį "svorį".</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Formulė Vyrams: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$$RMR (kcal/d.) = (10 \times svoris [kg]) + (6.25 \times ūgis [cm]) - (5 \times amžius [m.]) + 5$$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Formulė Moterims: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$$RMR (kcal/d.) = (10 \times svoris [kg]) + (6.25 \times ūgis [cm]) - (5 \times amžius [m.]) - 161$$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Kintamųjų Analizė:</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Svoris ($10 \times kg$):</w:t>
      </w:r>
      <w:r w:rsidDel="00000000" w:rsidR="00000000" w:rsidRPr="00000000">
        <w:rPr>
          <w:rFonts w:ascii="Google Sans Text" w:cs="Google Sans Text" w:eastAsia="Google Sans Text" w:hAnsi="Google Sans Text"/>
          <w:color w:val="1f1f1f"/>
          <w:rtl w:val="0"/>
        </w:rPr>
        <w:t xml:space="preserve"> Kūno masė yra pagrindinis metabolizmo veiksnys. Koeficientas 10 rodo, kad kiekvienas kilogramas (mišraus audinio) prideda apytiksliai 10 kcal prie paros RMR.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Ūgis ($6.25 \times cm$):</w:t>
      </w:r>
      <w:r w:rsidDel="00000000" w:rsidR="00000000" w:rsidRPr="00000000">
        <w:rPr>
          <w:rFonts w:ascii="Google Sans Text" w:cs="Google Sans Text" w:eastAsia="Google Sans Text" w:hAnsi="Google Sans Text"/>
          <w:color w:val="1f1f1f"/>
          <w:rtl w:val="0"/>
        </w:rPr>
        <w:t xml:space="preserve"> Ūgis koreliuoja su kūno paviršiaus plotu ir liesąja kūno mase. Aukštesni žmonės turi didesnį kūno paviršiaus plotą, per kurį prarandama šiluma, todėl jų BMR yra didesnis.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Amžius ($-5 \times metai$):</w:t>
      </w:r>
      <w:r w:rsidDel="00000000" w:rsidR="00000000" w:rsidRPr="00000000">
        <w:rPr>
          <w:rFonts w:ascii="Google Sans Text" w:cs="Google Sans Text" w:eastAsia="Google Sans Text" w:hAnsi="Google Sans Text"/>
          <w:color w:val="1f1f1f"/>
          <w:rtl w:val="0"/>
        </w:rPr>
        <w:t xml:space="preserve"> Neigiamas koeficientas atspindi natūralų metabolizmo lėtėjimą senstant. Tai susiję su laipsnišku raumenų masės mažėjimu (sarkopenija) ir metabolinio aktyvumo lėtėjimu ląstelių lygmenyje. Kiekvieni gyvenimo metai teoriškai sumažina RMR apie 5 kcal.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Lyties konstanta (+5 vs -161):</w:t>
      </w:r>
      <w:r w:rsidDel="00000000" w:rsidR="00000000" w:rsidRPr="00000000">
        <w:rPr>
          <w:rFonts w:ascii="Google Sans Text" w:cs="Google Sans Text" w:eastAsia="Google Sans Text" w:hAnsi="Google Sans Text"/>
          <w:color w:val="1f1f1f"/>
          <w:rtl w:val="0"/>
        </w:rPr>
        <w:t xml:space="preserve"> Skirtumas tarp konstantų (166 kcal) atspindi fundamentalius biologinius skirtumus. Vyrai genetiškai linkę turėti didesnę raumenų masę ir mažesnį riebalinio audinio procentą nei moterys, net esant tam pačiam svoriui ir ūgiui. Raumeninis audinys yra metaboliškai aktyvesnis už riebalinį, todėl vyrų RMR yra aukštesnis.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Harris-Benedict Lygtis: Istorinė Reikšmė ir 1984 m. Revizija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Harris-Benedict lygtis yra viena seniausių ir geriausiai žinomų bioenergetikos formulių, pirmą kartą paskelbta 1919 metais Vašingtono Karnegio instituto Biometrinėje laboratorijoje. Originalus tyrimas rėmėsi 136 vyrų ir 103 moterų duomenimis. Nors tuo metu tai buvo proveržis, vėlesni tyrimai parodė, kad 1919 m. lygtis sistemingai pervertina RMR (apie 5–15 %) šiuolaikinėje populiacijoje. Tai lėmė būtinybę revizuoti formulę.</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1984 m. Roza ir Shizgal Revizija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Siekiant pagerinti tikslumą, 1984 m. mokslininkai Roza ir Shizgal atliko pakartotinę analizę ir pateikė patikslintus koeficientus. Ši versija yra dažniausiai naudojama šiuolaikinėje klinikinėje literatūroje ir medicininėse skaičiuoklėse, kai minima "Harris-Benedict lygtis".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Revizuota Formulė Vyrams (1984):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$$BMR = 88.362 + (13.397 \times svoris [kg]) + (4.799 \times ūgis [cm]) - (5.677 \times amžius [m.])$$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Revizuota Formulė Moterims (1984):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$$BMR = 447.593 + (9.247 \times svoris [kg]) + (3.098 \times ūgis [cm]) - (4.330 \times amžius [m.])$$</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Lygčių Palyginimas: Harris-Benedict vs. Mifflin-St Jeor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Analizuojant koeficientus, matyti esminiai skirtumai:</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Svorio įtaka:</w:t>
      </w:r>
      <w:r w:rsidDel="00000000" w:rsidR="00000000" w:rsidRPr="00000000">
        <w:rPr>
          <w:rFonts w:ascii="Google Sans Text" w:cs="Google Sans Text" w:eastAsia="Google Sans Text" w:hAnsi="Google Sans Text"/>
          <w:color w:val="1f1f1f"/>
          <w:rtl w:val="0"/>
        </w:rPr>
        <w:t xml:space="preserve"> Harris-Benedict lygtyje vyrams svorio koeficientas yra didesnis (13.397) nei Mifflin (10). Tai yra viena iš priežasčių, kodėl Harris-Benedict lygtis linkusi pervertinti RMR asmenims, turintiems didelį antsvorį – ji priskiria didesnį metabolinį aktyvumą kiekvienam papildomam kilogramui, neatsižvelgdama į tai, kad nutukusių asmenų papildomas svoris daugiausia yra metaboliškai mažiau aktyvus riebalinis audinys.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Amžiaus įtaka:</w:t>
      </w:r>
      <w:r w:rsidDel="00000000" w:rsidR="00000000" w:rsidRPr="00000000">
        <w:rPr>
          <w:rFonts w:ascii="Google Sans Text" w:cs="Google Sans Text" w:eastAsia="Google Sans Text" w:hAnsi="Google Sans Text"/>
          <w:color w:val="1f1f1f"/>
          <w:rtl w:val="0"/>
        </w:rPr>
        <w:t xml:space="preserve"> Harris-Benedict formulėje amžiaus įtaka vyrams vertinama griežčiau (-5.677) nei Mifflin (-5), kas rodo prielaidą apie greitesnį metabolizmo lėtėjimą.</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Moksliniai tyrimai, lyginantys predikcines lygtis su netiesiogine kalorimetrija, rodo:</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Normalaus svorio populiacija:</w:t>
      </w:r>
      <w:r w:rsidDel="00000000" w:rsidR="00000000" w:rsidRPr="00000000">
        <w:rPr>
          <w:rFonts w:ascii="Google Sans Text" w:cs="Google Sans Text" w:eastAsia="Google Sans Text" w:hAnsi="Google Sans Text"/>
          <w:color w:val="1f1f1f"/>
          <w:rtl w:val="0"/>
        </w:rPr>
        <w:t xml:space="preserve"> Abi lygtys veikia gana tiksliai, tačiau Mifflin-St Jeor pasižymi mažesne vidutine paklaida.</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Nutukusi populiacija:</w:t>
      </w:r>
      <w:r w:rsidDel="00000000" w:rsidR="00000000" w:rsidRPr="00000000">
        <w:rPr>
          <w:rFonts w:ascii="Google Sans Text" w:cs="Google Sans Text" w:eastAsia="Google Sans Text" w:hAnsi="Google Sans Text"/>
          <w:color w:val="1f1f1f"/>
          <w:rtl w:val="0"/>
        </w:rPr>
        <w:t xml:space="preserve"> Mifflin-St Jeor yra neginčijamai pranašesnė. Harris-Benedict dažnai pervertina poreikius, kas gali trukdyti svorio metimo procesui.</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Kritinės būklės pacientai ir senyvo amžiaus žmonės:</w:t>
      </w:r>
      <w:r w:rsidDel="00000000" w:rsidR="00000000" w:rsidRPr="00000000">
        <w:rPr>
          <w:rFonts w:ascii="Google Sans Text" w:cs="Google Sans Text" w:eastAsia="Google Sans Text" w:hAnsi="Google Sans Text"/>
          <w:color w:val="1f1f1f"/>
          <w:rtl w:val="0"/>
        </w:rPr>
        <w:t xml:space="preserve"> Abi lygtys šioje grupėje yra mažiau patikimos. Tyrimai rodo didelę variaciją (nuo pervertinimo iki nepakankamo įvertinimo), todėl tokiems pacientams rekomenduojama, esant galimybei, naudoti netiesioginę kalorimetriją.</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Fizinio Aktyvumo Lygio (PAL) Vertinimo Metodologijos ir Standartai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Nustačius bazinį energijos poreikį (BMR), būtina įvertinti energijos sąnaudas, susijusias su fiziniu aktyvumu. Tai atliekama dauginant BMR iš Fizinio Aktyvumo Lygio (PAL - Physical Activity Level) koeficiento.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$$TEE = BMR \times PAL$$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PAL koeficientas nėra statinis dydis; tai yra vidutinis paros rodiklis, apimantis tiek tikslingas treniruotes (EAT), tiek spontanišką fizinį aktyvumą (NEAT), tiek darbo pobūdį. Pasaulyje egzistuoja kelios PAL standartizavimo sistemos, iš kurių pagrindinės yra FAO/WHO/UNU (Jungtinių Tautų maisto ir žemės ūkio organizacija / Pasaulio sveikatos organizacija) ir IOM (Institute of Medicine).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FAO/WHO/UNU (2004) Klasifikacija: Gyvenimo Būdo Kategorijos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FAO/WHO/UNU ataskaita (2004) "Human Energy Requirements" pateikia išsamią PAL klasifikaciją, kuri remiasi ne tik profesine veikla, bet ir bendru gyvenimo būdo intensyvumu. Ši sistema yra laikoma tarptautiniu standartu vertinant populiacijų energijos poreikius.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 detali šių koeficientų analizė lentelės formatu: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Gyvenimo Būdo 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 Reikšmė (Intervalas)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Detalus Veiklos Aprašymas ir Pavyzdžiai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Sėdimas arba mažai aktyvus</w:t>
            </w:r>
            <w:r w:rsidDel="00000000" w:rsidR="00000000" w:rsidRPr="00000000">
              <w:rPr>
                <w:rFonts w:ascii="Google Sans Text" w:cs="Google Sans Text" w:eastAsia="Google Sans Text" w:hAnsi="Google Sans Text"/>
                <w:color w:val="1f1f1f"/>
                <w:shd w:fill="auto" w:val="clear"/>
                <w:rtl w:val="0"/>
              </w:rPr>
              <w:t xml:space="preserve"> (Sedentary or light activity lifestyle)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1.40 – 1.69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Apibrėžimas:</w:t>
            </w:r>
            <w:r w:rsidDel="00000000" w:rsidR="00000000" w:rsidRPr="00000000">
              <w:rPr>
                <w:rFonts w:ascii="Google Sans Text" w:cs="Google Sans Text" w:eastAsia="Google Sans Text" w:hAnsi="Google Sans Text"/>
                <w:color w:val="1f1f1f"/>
                <w:shd w:fill="auto" w:val="clear"/>
                <w:rtl w:val="0"/>
              </w:rPr>
              <w:t xml:space="preserve"> Asmenys, kurių darbas nereikalauja fizinių pastangų (biuro darbuotojai, vairuotojai, kasininkai) ir kurie laisvalaikiu nesportuoja arba užsiima tik minimalia veikla.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Struktūra:</w:t>
            </w:r>
            <w:r w:rsidDel="00000000" w:rsidR="00000000" w:rsidRPr="00000000">
              <w:rPr>
                <w:rFonts w:ascii="Google Sans Text" w:cs="Google Sans Text" w:eastAsia="Google Sans Text" w:hAnsi="Google Sans Text"/>
                <w:color w:val="1f1f1f"/>
                <w:shd w:fill="auto" w:val="clear"/>
                <w:rtl w:val="0"/>
              </w:rPr>
              <w:t xml:space="preserve"> Dauguma laiko praleidžiama sėdint ar gulint. Minimalus vaikščiojimas. Tai yra labiausiai paplitusi kategorija išsivysčiusiose šalyse.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Pastaba:</w:t>
            </w:r>
            <w:r w:rsidDel="00000000" w:rsidR="00000000" w:rsidRPr="00000000">
              <w:rPr>
                <w:rFonts w:ascii="Google Sans Text" w:cs="Google Sans Text" w:eastAsia="Google Sans Text" w:hAnsi="Google Sans Text"/>
                <w:color w:val="1f1f1f"/>
                <w:shd w:fill="auto" w:val="clear"/>
                <w:rtl w:val="0"/>
              </w:rPr>
              <w:t xml:space="preserve"> Net ir lankantys sporto klubą 2–3 k./sav., bet dirbantys sėdimą darbą, dažnai patenka į šios kategorijos viršutinę ribą (apie 1.6), o ne į "aktyvių" kategoriją.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Aktyvus arba vidutiniškai aktyvus</w:t>
            </w:r>
            <w:r w:rsidDel="00000000" w:rsidR="00000000" w:rsidRPr="00000000">
              <w:rPr>
                <w:rFonts w:ascii="Google Sans Text" w:cs="Google Sans Text" w:eastAsia="Google Sans Text" w:hAnsi="Google Sans Text"/>
                <w:color w:val="1f1f1f"/>
                <w:shd w:fill="auto" w:val="clear"/>
                <w:rtl w:val="0"/>
              </w:rPr>
              <w:t xml:space="preserve"> (Active or moderately active lifestyle)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1.70 – 1.99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Apibrėžimas:</w:t>
            </w:r>
            <w:r w:rsidDel="00000000" w:rsidR="00000000" w:rsidRPr="00000000">
              <w:rPr>
                <w:rFonts w:ascii="Google Sans Text" w:cs="Google Sans Text" w:eastAsia="Google Sans Text" w:hAnsi="Google Sans Text"/>
                <w:color w:val="1f1f1f"/>
                <w:shd w:fill="auto" w:val="clear"/>
                <w:rtl w:val="0"/>
              </w:rPr>
              <w:t xml:space="preserve"> Asmenys, dirbantys darbą, reikalaujantį nuolatinio judėjimo ar vidutinio fizinio krūvio (padavėjai, kurjeriai, lengvoji pramonė, statybos be sunkių krovinių).</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Alternatyva:</w:t>
            </w:r>
            <w:r w:rsidDel="00000000" w:rsidR="00000000" w:rsidRPr="00000000">
              <w:rPr>
                <w:rFonts w:ascii="Google Sans Text" w:cs="Google Sans Text" w:eastAsia="Google Sans Text" w:hAnsi="Google Sans Text"/>
                <w:color w:val="1f1f1f"/>
                <w:shd w:fill="auto" w:val="clear"/>
                <w:rtl w:val="0"/>
              </w:rPr>
              <w:t xml:space="preserve"> Sėdimą darbą dirbantys asmenys, kurie kasdien skiria apie 1 valandą vidutinio ar didelio intensyvumo treniruotėms (bėgimas, plaukimas, intensyvus dviračių sportas).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Fiziologinis krūvis:</w:t>
            </w:r>
            <w:r w:rsidDel="00000000" w:rsidR="00000000" w:rsidRPr="00000000">
              <w:rPr>
                <w:rFonts w:ascii="Google Sans Text" w:cs="Google Sans Text" w:eastAsia="Google Sans Text" w:hAnsi="Google Sans Text"/>
                <w:color w:val="1f1f1f"/>
                <w:shd w:fill="auto" w:val="clear"/>
                <w:rtl w:val="0"/>
              </w:rPr>
              <w:t xml:space="preserve"> Reguliarus širdies ritmo padidėjimas ir raumenų tonuso palaikymas dienos eigoje.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Energingas arba labai aktyvus</w:t>
            </w:r>
            <w:r w:rsidDel="00000000" w:rsidR="00000000" w:rsidRPr="00000000">
              <w:rPr>
                <w:rFonts w:ascii="Google Sans Text" w:cs="Google Sans Text" w:eastAsia="Google Sans Text" w:hAnsi="Google Sans Text"/>
                <w:color w:val="1f1f1f"/>
                <w:shd w:fill="auto" w:val="clear"/>
                <w:rtl w:val="0"/>
              </w:rPr>
              <w:t xml:space="preserve"> (Vigorous or vigorously active lifestyle)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 – 2.40</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Apibrėžimas:</w:t>
            </w:r>
            <w:r w:rsidDel="00000000" w:rsidR="00000000" w:rsidRPr="00000000">
              <w:rPr>
                <w:rFonts w:ascii="Google Sans Text" w:cs="Google Sans Text" w:eastAsia="Google Sans Text" w:hAnsi="Google Sans Text"/>
                <w:color w:val="1f1f1f"/>
                <w:shd w:fill="auto" w:val="clear"/>
                <w:rtl w:val="0"/>
              </w:rPr>
              <w:t xml:space="preserve"> Asmenys, dirbantys sunkų fizinį darbą (nemekanizuotas žemės ūkis, miško darbai, kariškiai pratybose, profesionalūs šokėjai).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Sportininkai:</w:t>
            </w:r>
            <w:r w:rsidDel="00000000" w:rsidR="00000000" w:rsidRPr="00000000">
              <w:rPr>
                <w:rFonts w:ascii="Google Sans Text" w:cs="Google Sans Text" w:eastAsia="Google Sans Text" w:hAnsi="Google Sans Text"/>
                <w:color w:val="1f1f1f"/>
                <w:shd w:fill="auto" w:val="clear"/>
                <w:rtl w:val="0"/>
              </w:rPr>
              <w:t xml:space="preserve"> Profesionalūs atletai, treniruojantys po kelias valandas per dieną (plaukikai, irkluotojai, dviratininkai).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Pastaba:</w:t>
            </w:r>
            <w:r w:rsidDel="00000000" w:rsidR="00000000" w:rsidRPr="00000000">
              <w:rPr>
                <w:rFonts w:ascii="Google Sans Text" w:cs="Google Sans Text" w:eastAsia="Google Sans Text" w:hAnsi="Google Sans Text"/>
                <w:color w:val="1f1f1f"/>
                <w:shd w:fill="auto" w:val="clear"/>
                <w:rtl w:val="0"/>
              </w:rPr>
              <w:t xml:space="preserve"> PAL reikšmės &gt;2.40 yra sunkiai pasiekiamos ilgą laiką ir dažniausiai stebimos tik elitiniame sporte varžybų ar stovyklų metu (pvz., "Tour de France" metu PAL gali siekti 4.0–5.0).</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Šaltiniai: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Klinikiniai Mifflin-St Jeor Koeficientai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Klinikinėje praktikoje ir mitybos planavimo programinėje įrangoje dažnai naudojama supaprastinta koeficientų sistema, tiesiogiai susieta su Mifflin-St Jeor lygtimi. Šie koeficientai yra šiek tiek konservatyvesni (mažesni) nei FAO/WHO, siekiant išvengti energijos poreikių pervertinimo sėdimą gyvenimo būdą gyvenantiems pacientams.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Sėdimas (Sedentary):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1.2</w:t>
      </w:r>
      <w:r w:rsidDel="00000000" w:rsidR="00000000" w:rsidRPr="00000000">
        <w:rPr>
          <w:rFonts w:ascii="Google Sans Text" w:cs="Google Sans Text" w:eastAsia="Google Sans Text" w:hAnsi="Google Sans Text"/>
          <w:color w:val="1f1f1f"/>
          <w:rtl w:val="0"/>
        </w:rPr>
        <w:t xml:space="preserve"> (Minimalus aktyvumas, sėdimas darbas).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Lengvai aktyvus (Lightly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1.375</w:t>
      </w:r>
      <w:r w:rsidDel="00000000" w:rsidR="00000000" w:rsidRPr="00000000">
        <w:rPr>
          <w:rFonts w:ascii="Google Sans Text" w:cs="Google Sans Text" w:eastAsia="Google Sans Text" w:hAnsi="Google Sans Text"/>
          <w:color w:val="1f1f1f"/>
          <w:rtl w:val="0"/>
        </w:rPr>
        <w:t xml:space="preserve"> (Lengvas sportas 1–3 k./sav., lengvas buitinis aktyvumas).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Vidutiniškai aktyvus (Moderately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1.55</w:t>
      </w:r>
      <w:r w:rsidDel="00000000" w:rsidR="00000000" w:rsidRPr="00000000">
        <w:rPr>
          <w:rFonts w:ascii="Google Sans Text" w:cs="Google Sans Text" w:eastAsia="Google Sans Text" w:hAnsi="Google Sans Text"/>
          <w:color w:val="1f1f1f"/>
          <w:rtl w:val="0"/>
        </w:rPr>
        <w:t xml:space="preserve"> (Vidutinis sportas 3–5 k./sav.).</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Labai aktyvus (Very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1.725</w:t>
      </w:r>
      <w:r w:rsidDel="00000000" w:rsidR="00000000" w:rsidRPr="00000000">
        <w:rPr>
          <w:rFonts w:ascii="Google Sans Text" w:cs="Google Sans Text" w:eastAsia="Google Sans Text" w:hAnsi="Google Sans Text"/>
          <w:color w:val="1f1f1f"/>
          <w:rtl w:val="0"/>
        </w:rPr>
        <w:t xml:space="preserve"> (Sunkus sportas 6–7 k./sav.).</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Ypač aktyvus (Extra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1.9</w:t>
      </w:r>
      <w:r w:rsidDel="00000000" w:rsidR="00000000" w:rsidRPr="00000000">
        <w:rPr>
          <w:rFonts w:ascii="Google Sans Text" w:cs="Google Sans Text" w:eastAsia="Google Sans Text" w:hAnsi="Google Sans Text"/>
          <w:color w:val="1f1f1f"/>
          <w:rtl w:val="0"/>
        </w:rPr>
        <w:t xml:space="preserve"> (Labai sunkus darbas arba treniruotės 2 k./d.).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Svarbi pastaba dėl taikymo:</w:t>
      </w:r>
      <w:r w:rsidDel="00000000" w:rsidR="00000000" w:rsidRPr="00000000">
        <w:rPr>
          <w:rFonts w:ascii="Google Sans Text" w:cs="Google Sans Text" w:eastAsia="Google Sans Text" w:hAnsi="Google Sans Text"/>
          <w:color w:val="1f1f1f"/>
          <w:rtl w:val="0"/>
        </w:rPr>
        <w:t xml:space="preserve"> Pagrindinė klaida praktikoje – per didelio koeficiento pasirinkimas. Dauguma "biuro žmonių", kurie sportuoja 3 kartus per savaitę po 45 minutes, dažnai pervertina savo sąnaudas rinkdamiesi 1.55 koeficientą. Realybėje, dėl mažo NEAT (Non-Exercise Activity Thermogenesis) likusią paros dalį, jų realus PAL dažnai yra arčiau 1.375–1.4.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Specifinių Sporto Šakų PAL Duomenys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Elitinių sportininkų PAL nustatymas reikalauja didesnio tikslumo, nes standartiniai koeficientai gali būti netikslūs. Tyrimai, naudojantys dvigubai žymėto vandens metodą (DLW), rodo didelę variaciją tarp sporto šakų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Žolės riedulys:</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3.0</w:t>
      </w:r>
      <w:r w:rsidDel="00000000" w:rsidR="00000000" w:rsidRPr="00000000">
        <w:rPr>
          <w:rFonts w:ascii="Google Sans Text" w:cs="Google Sans Text" w:eastAsia="Google Sans Text" w:hAnsi="Google Sans Text"/>
          <w:color w:val="1f1f1f"/>
          <w:rtl w:val="0"/>
        </w:rPr>
        <w:t xml:space="preserve"> (Labai didelis aerobinis ir anaerobinis komponentas).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Imtynės ir Boksas:</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2.6</w:t>
      </w:r>
      <w:r w:rsidDel="00000000" w:rsidR="00000000" w:rsidRPr="00000000">
        <w:rPr>
          <w:rFonts w:ascii="Google Sans Text" w:cs="Google Sans Text" w:eastAsia="Google Sans Text" w:hAnsi="Google Sans Text"/>
          <w:color w:val="1f1f1f"/>
          <w:rtl w:val="0"/>
        </w:rPr>
        <w:t xml:space="preserve"> (Intensyvios treniruotės, didelis viso kūno įsitraukimas).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Krepšinis:</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2.3</w:t>
      </w:r>
      <w:r w:rsidDel="00000000" w:rsidR="00000000" w:rsidRPr="00000000">
        <w:rPr>
          <w:rFonts w:ascii="Google Sans Text" w:cs="Google Sans Text" w:eastAsia="Google Sans Text" w:hAnsi="Google Sans Text"/>
          <w:color w:val="1f1f1f"/>
          <w:rtl w:val="0"/>
        </w:rPr>
        <w:t xml:space="preserve"> (Intervalinis krūvis).</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Lengvoji atletika:</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2.2</w:t>
      </w:r>
      <w:r w:rsidDel="00000000" w:rsidR="00000000" w:rsidRPr="00000000">
        <w:rPr>
          <w:rFonts w:ascii="Google Sans Text" w:cs="Google Sans Text" w:eastAsia="Google Sans Text" w:hAnsi="Google Sans Text"/>
          <w:color w:val="1f1f1f"/>
          <w:rtl w:val="0"/>
        </w:rPr>
        <w:t xml:space="preserve"> (Priklausomai nuo disciplinos).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Tinklinis:</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Badmintonas:</w:t>
      </w:r>
      <w:r w:rsidDel="00000000" w:rsidR="00000000" w:rsidRPr="00000000">
        <w:rPr>
          <w:rFonts w:ascii="Google Sans Text" w:cs="Google Sans Text" w:eastAsia="Google Sans Text" w:hAnsi="Google Sans Text"/>
          <w:color w:val="1f1f1f"/>
          <w:rtl w:val="0"/>
        </w:rPr>
        <w:t xml:space="preserve"> PAL ~ </w:t>
      </w:r>
      <w:r w:rsidDel="00000000" w:rsidR="00000000" w:rsidRPr="00000000">
        <w:rPr>
          <w:rFonts w:ascii="Google Sans Text" w:cs="Google Sans Text" w:eastAsia="Google Sans Text" w:hAnsi="Google Sans Text"/>
          <w:b w:val="1"/>
          <w:bCs w:val="1"/>
          <w:color w:val="1f1f1f"/>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Šie duomenys rodo, kad net "profesionalus sportininkas" nėra vienalytė kategorija. Tinklininko energijos poreikiai (PAL 2.0) drastiškai skiriasi nuo imtynininko (PAL 2.6), net jei abu treniruojasi kasdien.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Institute of Medicine (IOM) Požiūris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IOM (dabar Nacionalinė medicinos akademija) naudoja šiek tiek kitokią metodiką, kurioje fizinio aktyvumo koeficientai (PA) integruojami tiesiogiai į EER (Estimated Energy Requirement) lygtis, diferencijuojant pagal amžių ir lytį. IOM išskiria keturias kategorijas: Sėdimas ($PAL \approx 1.0-1.39$), Mažai aktyvus ($PAL \approx 1.4-1.59$), Aktyvus ($PAL \approx 1.6-1.89$) ir Labai aktyvus ($PAL \approx 1.9-2.5$). IOM modelis pabrėžia, kad fizinis aktyvumas yra kintamasis, kurį reikia nuolat pervertinti, ypač vaikams ir paaugliams, nes jų energijos sąnaudos augimui persidengia su aktyvumo sąnaudomis.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Maisto Terminis Efektas (TEF): Metabolinių Kaštų Analizė</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Maisto terminis efektas (TEF), dar žinomas kaip dietos sukelta termogeneze (DIT), atspindi energijos sąnaudų padidėjimą, susijusį su maisto vartojimu, virškinimu, absorbcija, transportavimu ir saugojimu. Tai yra "energijos mokestis", kurį organizmas turi sumokėti, kad gautų energiją iš maisto. Standartiškai skaičiuojama, kad TEF sudaro apie 10 % TEE, tačiau ši vertė stipriai priklauso nuo dietos makroelementų sudėties.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Makroelementų TEF Reikšmės ir Fiziologiniai Mechanizmai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Skirtingi makroelementai reikalauja radikaliai skirtingo energijos kiekio metabolizmui.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Makroelementas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TEF Reikšmė (% nuo energijos)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Fiziologinis Mechanizmas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 – 30 %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Baltymai pasižymi didžiausiu termogeniniu efektu. Tai lemia: 1) Peptidinių ryšių hidrolizė virškinimo trakte; 2) Aktyvus aminorūgščių transportas per ląstelių membranas; 3) </w:t>
            </w:r>
            <w:r w:rsidDel="00000000" w:rsidR="00000000" w:rsidRPr="00000000">
              <w:rPr>
                <w:rFonts w:ascii="Google Sans Text" w:cs="Google Sans Text" w:eastAsia="Google Sans Text" w:hAnsi="Google Sans Text"/>
                <w:b w:val="1"/>
                <w:bCs w:val="1"/>
                <w:color w:val="1f1f1f"/>
                <w:shd w:fill="auto" w:val="clear"/>
                <w:rtl w:val="0"/>
              </w:rPr>
              <w:t xml:space="preserve">Gliukoneogenezė</w:t>
            </w:r>
            <w:r w:rsidDel="00000000" w:rsidR="00000000" w:rsidRPr="00000000">
              <w:rPr>
                <w:rFonts w:ascii="Google Sans Text" w:cs="Google Sans Text" w:eastAsia="Google Sans Text" w:hAnsi="Google Sans Text"/>
                <w:color w:val="1f1f1f"/>
                <w:shd w:fill="auto" w:val="clear"/>
                <w:rtl w:val="0"/>
              </w:rPr>
              <w:t xml:space="preserve"> (baltymų vertimas gliukoze kepenyse); 4) </w:t>
            </w:r>
            <w:r w:rsidDel="00000000" w:rsidR="00000000" w:rsidRPr="00000000">
              <w:rPr>
                <w:rFonts w:ascii="Google Sans Text" w:cs="Google Sans Text" w:eastAsia="Google Sans Text" w:hAnsi="Google Sans Text"/>
                <w:b w:val="1"/>
                <w:bCs w:val="1"/>
                <w:color w:val="1f1f1f"/>
                <w:shd w:fill="auto" w:val="clear"/>
                <w:rtl w:val="0"/>
              </w:rPr>
              <w:t xml:space="preserve">Karbamido sintezė</w:t>
            </w:r>
            <w:r w:rsidDel="00000000" w:rsidR="00000000" w:rsidRPr="00000000">
              <w:rPr>
                <w:rFonts w:ascii="Google Sans Text" w:cs="Google Sans Text" w:eastAsia="Google Sans Text" w:hAnsi="Google Sans Text"/>
                <w:color w:val="1f1f1f"/>
                <w:shd w:fill="auto" w:val="clear"/>
                <w:rtl w:val="0"/>
              </w:rPr>
              <w:t xml:space="preserve"> ir šalinimas – toksiško amoniako (baltymų skilimo produkto) vertimas į šlapalą yra itin energetiškai imlus procesas. Dėl šios priežasties didelio baltymingumo dietos "efektyviai" suteikia mažiau metabolizuojamos energijos nei riebalų ar angliavandenių dietos.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 10 %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Energija reikalinga gliukozės absorbcijai, transportavimui ir glikogeno sintezei (glikogenezei). TEF varijuoja priklausomai nuo angliavandenio tipo: skaidulos reikalauja daugiau energijos perdirbimui nei paprastieji cukrūs.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 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Riebalų metabolizmas yra evoliuciškai optimizuotas energijos saugojimui. Maistiniai trigliceridai hidrolizuojami ir vėl re-esterifikuojami riebaliniame audinyje su minimaliomis energijos sąnaudomis. Tai paaiškina, kodėl riebalų perteklius dietoje labai lengvai virsta kūno riebalais.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Veiksniai, Moduliuojantys TEF</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Skaidulų kiekis:</w:t>
      </w:r>
      <w:r w:rsidDel="00000000" w:rsidR="00000000" w:rsidRPr="00000000">
        <w:rPr>
          <w:rFonts w:ascii="Google Sans Text" w:cs="Google Sans Text" w:eastAsia="Google Sans Text" w:hAnsi="Google Sans Text"/>
          <w:color w:val="1f1f1f"/>
          <w:rtl w:val="0"/>
        </w:rPr>
        <w:t xml:space="preserve"> Maistas, kuriame gausu skaidulų ir kuris yra minimaliai apdorotas (pvz., pilno grūdo produktai), sukelia didesnį TEF nei rafinuoti produktai. Taip yra dėl mechaninio virškinimo poreikio ir lėtesnės absorbcijos.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Maisto apdorojimas:</w:t>
      </w:r>
      <w:r w:rsidDel="00000000" w:rsidR="00000000" w:rsidRPr="00000000">
        <w:rPr>
          <w:rFonts w:ascii="Google Sans Text" w:cs="Google Sans Text" w:eastAsia="Google Sans Text" w:hAnsi="Google Sans Text"/>
          <w:color w:val="1f1f1f"/>
          <w:rtl w:val="0"/>
        </w:rPr>
        <w:t xml:space="preserve"> Termiškai neapdorotas maistas dažnai turi didesnį TEF. Pavyzdžiui, suvalgius tą patį kalorijų kiekį iš riešutų (kurių ląstelių sienelės sunkiai virškinamos) organizmas pasisavina mažiau energijos nei iš riešutų sviesto.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Valgymo dažnis ir dydis:</w:t>
      </w:r>
      <w:r w:rsidDel="00000000" w:rsidR="00000000" w:rsidRPr="00000000">
        <w:rPr>
          <w:rFonts w:ascii="Google Sans Text" w:cs="Google Sans Text" w:eastAsia="Google Sans Text" w:hAnsi="Google Sans Text"/>
          <w:color w:val="1f1f1f"/>
          <w:rtl w:val="0"/>
        </w:rPr>
        <w:t xml:space="preserve"> Nors bendras paros TEF labiau priklauso nuo bendro kalorijų kiekio, vienas didelis valgymas sukelia ryškesnį, bet trumpesnį metabolinį šuolį nei keli maži užkandžiai. Visgi, tyrimai nerodo reikšmingo skirtumo svorio metimui vien manipuliuojant valgymo dažniu.</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Klinikinė implikacija:</w:t>
      </w:r>
      <w:r w:rsidDel="00000000" w:rsidR="00000000" w:rsidRPr="00000000">
        <w:rPr>
          <w:rFonts w:ascii="Google Sans Text" w:cs="Google Sans Text" w:eastAsia="Google Sans Text" w:hAnsi="Google Sans Text"/>
          <w:color w:val="1f1f1f"/>
          <w:rtl w:val="0"/>
        </w:rPr>
        <w:t xml:space="preserve"> Dietos, kuriose dominuoja baltymai ir neapdoroti augaliniai produktai, gali padidinti paros energijos sąnaudas 50–100 kcal vien per TEF, lyginant su izokalorine dieta, kurioje gausu riebalų ir rafinuotų angliavandenių. Tai yra vienas iš mechanizmų, paaiškinančių didelio baltymingumo dietų efektyvumą metant svorį.</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Energijos Balanso Manipuliavimas: Deficitas ir Perteklius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Energijos balanso lygties valdymas yra pagrindinis įrankis keičiant kūno kompoziciją. Tačiau šis procesas nėra linijinis. Senoji taisyklė, kad "3500 kcal deficitas lygus 1 svaro (0.45 kg) riebalų praradimui", yra pernelyg supaprastinta, nes ji neįvertina dinamiškų metabolinės adaptacijos procesų. Kūno svoriui mažėjant, mažėja ir RMR bei energijos sąnaudos fiziniam aktyvumui, todėl svorio kritimas lėtėja, jei kalorijų suvartojimas išlieka pastovus.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Kalorijų Deficitas: Saugios Riebalų Deginimo Strategijos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Siekiant sumažinti riebalinį audinį, būtina sukurti neigiamą energijos balansą, tačiau jis turi būti kontroliuojamas, kad būtų išsaugota liesoji raumenų masė (LBM) ir išvengta neigiamų pasekmių sveikatai (imuniteto slopinimo, hormoninių sutrikimų).</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Rekomendacijos: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Deficito dydis:</w:t>
      </w:r>
      <w:r w:rsidDel="00000000" w:rsidR="00000000" w:rsidRPr="00000000">
        <w:rPr>
          <w:rFonts w:ascii="Google Sans Text" w:cs="Google Sans Text" w:eastAsia="Google Sans Text" w:hAnsi="Google Sans Text"/>
          <w:color w:val="1f1f1f"/>
          <w:rtl w:val="0"/>
        </w:rPr>
        <w:t xml:space="preserve"> Dauguma mokslinių gairių rekomenduoja </w:t>
      </w:r>
      <w:r w:rsidDel="00000000" w:rsidR="00000000" w:rsidRPr="00000000">
        <w:rPr>
          <w:rFonts w:ascii="Google Sans Text" w:cs="Google Sans Text" w:eastAsia="Google Sans Text" w:hAnsi="Google Sans Text"/>
          <w:b w:val="1"/>
          <w:bCs w:val="1"/>
          <w:color w:val="1f1f1f"/>
          <w:rtl w:val="0"/>
        </w:rPr>
        <w:t xml:space="preserve">500–750 kcal/d.</w:t>
      </w:r>
      <w:r w:rsidDel="00000000" w:rsidR="00000000" w:rsidRPr="00000000">
        <w:rPr>
          <w:rFonts w:ascii="Google Sans Text" w:cs="Google Sans Text" w:eastAsia="Google Sans Text" w:hAnsi="Google Sans Text"/>
          <w:color w:val="1f1f1f"/>
          <w:rtl w:val="0"/>
        </w:rPr>
        <w:t xml:space="preserve"> deficitą nuo TEE. Tai teoriškai turėtų lemti apie 0.5–0.7 kg svorio kritimą per savaitę.</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Procentinis metodas:</w:t>
      </w:r>
      <w:r w:rsidDel="00000000" w:rsidR="00000000" w:rsidRPr="00000000">
        <w:rPr>
          <w:rFonts w:ascii="Google Sans Text" w:cs="Google Sans Text" w:eastAsia="Google Sans Text" w:hAnsi="Google Sans Text"/>
          <w:color w:val="1f1f1f"/>
          <w:rtl w:val="0"/>
        </w:rPr>
        <w:t xml:space="preserve"> Individualizuotas požiūris siūlo taikyti </w:t>
      </w:r>
      <w:r w:rsidDel="00000000" w:rsidR="00000000" w:rsidRPr="00000000">
        <w:rPr>
          <w:rFonts w:ascii="Google Sans Text" w:cs="Google Sans Text" w:eastAsia="Google Sans Text" w:hAnsi="Google Sans Text"/>
          <w:b w:val="1"/>
          <w:bCs w:val="1"/>
          <w:color w:val="1f1f1f"/>
          <w:rtl w:val="0"/>
        </w:rPr>
        <w:t xml:space="preserve">10–20 % deficitą</w:t>
      </w:r>
      <w:r w:rsidDel="00000000" w:rsidR="00000000" w:rsidRPr="00000000">
        <w:rPr>
          <w:rFonts w:ascii="Google Sans Text" w:cs="Google Sans Text" w:eastAsia="Google Sans Text" w:hAnsi="Google Sans Text"/>
          <w:color w:val="1f1f1f"/>
          <w:rtl w:val="0"/>
        </w:rPr>
        <w:t xml:space="preserve"> nuo TEE. Pavyzdžiui, asmeniui, kurio TEE = 2500 kcal, 20 % deficitas būtų 500 kcal, o asmeniui su TEE = 1800 kcal – tik 360 kcal. Tai apsaugo mažesnio svorio asmenis nuo pernelyg drastiško kalorijų ribojimo.</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Saugus tempas:</w:t>
      </w:r>
      <w:r w:rsidDel="00000000" w:rsidR="00000000" w:rsidRPr="00000000">
        <w:rPr>
          <w:rFonts w:ascii="Google Sans Text" w:cs="Google Sans Text" w:eastAsia="Google Sans Text" w:hAnsi="Google Sans Text"/>
          <w:color w:val="1f1f1f"/>
          <w:rtl w:val="0"/>
        </w:rPr>
        <w:t xml:space="preserve"> Rekomenduojamas svorio kritimo greitis yra </w:t>
      </w:r>
      <w:r w:rsidDel="00000000" w:rsidR="00000000" w:rsidRPr="00000000">
        <w:rPr>
          <w:rFonts w:ascii="Google Sans Text" w:cs="Google Sans Text" w:eastAsia="Google Sans Text" w:hAnsi="Google Sans Text"/>
          <w:b w:val="1"/>
          <w:bCs w:val="1"/>
          <w:color w:val="1f1f1f"/>
          <w:rtl w:val="0"/>
        </w:rPr>
        <w:t xml:space="preserve">0.5 – 1.0 % kūno masės per savaitę</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Nutukę asmenys (KMI &gt; 30) gali saugiai mesti svorį greičiau (arčiau 1 % ar daugiau pradinėje fazėje).</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Liesi asmenys ir atletai turėtų siekti lėtesnio tempo (</w:t>
      </w:r>
      <w:r w:rsidDel="00000000" w:rsidR="00000000" w:rsidRPr="00000000">
        <w:rPr>
          <w:rFonts w:ascii="Google Sans Text" w:cs="Google Sans Text" w:eastAsia="Google Sans Text" w:hAnsi="Google Sans Text"/>
          <w:b w:val="1"/>
          <w:bCs w:val="1"/>
          <w:color w:val="1f1f1f"/>
          <w:rtl w:val="0"/>
        </w:rPr>
        <w:t xml:space="preserve">&lt;0.7 % per savaitę</w:t>
      </w:r>
      <w:r w:rsidDel="00000000" w:rsidR="00000000" w:rsidRPr="00000000">
        <w:rPr>
          <w:rFonts w:ascii="Google Sans Text" w:cs="Google Sans Text" w:eastAsia="Google Sans Text" w:hAnsi="Google Sans Text"/>
          <w:color w:val="1f1f1f"/>
          <w:rtl w:val="0"/>
        </w:rPr>
        <w:t xml:space="preserve">), nes esant mažam riebalų kiekiui, organizmas vis labiau linkęs katabolizuoti raumeninį audinį energijai gauti.</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Metabolinė Adaptacija:</w:t>
      </w:r>
      <w:r w:rsidDel="00000000" w:rsidR="00000000" w:rsidRPr="00000000">
        <w:rPr>
          <w:rFonts w:ascii="Google Sans Text" w:cs="Google Sans Text" w:eastAsia="Google Sans Text" w:hAnsi="Google Sans Text"/>
          <w:color w:val="1f1f1f"/>
          <w:rtl w:val="0"/>
        </w:rPr>
        <w:t xml:space="preserve"> Ilgalaikio deficito metu organizmas įjungia "energijos taupymo" režimą: mažėja skydliaukės hormonų (T3) gamyba, mažėja leptino lygis, didėja alkio hormono grelino sekrecija, ir spontaniškas judėjimas (NEAT) pasąmoningai slopinamas. Todėl būtina periodiškai (kas 2–4 savaites) perskaičiuoti TEE naudojant naują (sumažėjusį) kūno svorį ir atitinkamai koreguoti kalorijų kiekį.</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Kalorijų Perteklius: Raumenų Hipertrofijos Optimizavimas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Raumenų augimas (anabolizmas) yra energetiškai brangus procesas. Reikalinga energija ne tik naujų baltymų struktūrų statybai, bet ir paties treniruočių proceso palaikymui.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Rekomendacijos:</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Pertekliaus dydis:</w:t>
      </w:r>
      <w:r w:rsidDel="00000000" w:rsidR="00000000" w:rsidRPr="00000000">
        <w:rPr>
          <w:rFonts w:ascii="Google Sans Text" w:cs="Google Sans Text" w:eastAsia="Google Sans Text" w:hAnsi="Google Sans Text"/>
          <w:color w:val="1f1f1f"/>
          <w:rtl w:val="0"/>
        </w:rPr>
        <w:t xml:space="preserve"> Pradedantiesiems ir vidutinio lygio atletams rekomenduojamas nuosaikus </w:t>
      </w:r>
      <w:r w:rsidDel="00000000" w:rsidR="00000000" w:rsidRPr="00000000">
        <w:rPr>
          <w:rFonts w:ascii="Google Sans Text" w:cs="Google Sans Text" w:eastAsia="Google Sans Text" w:hAnsi="Google Sans Text"/>
          <w:b w:val="1"/>
          <w:bCs w:val="1"/>
          <w:color w:val="1f1f1f"/>
          <w:rtl w:val="0"/>
        </w:rPr>
        <w:t xml:space="preserve">10–20 % perteklius</w:t>
      </w:r>
      <w:r w:rsidDel="00000000" w:rsidR="00000000" w:rsidRPr="00000000">
        <w:rPr>
          <w:rFonts w:ascii="Google Sans Text" w:cs="Google Sans Text" w:eastAsia="Google Sans Text" w:hAnsi="Google Sans Text"/>
          <w:color w:val="1f1f1f"/>
          <w:rtl w:val="0"/>
        </w:rPr>
        <w:t xml:space="preserve"> virš TEE (arba apytiksliai </w:t>
      </w:r>
      <w:r w:rsidDel="00000000" w:rsidR="00000000" w:rsidRPr="00000000">
        <w:rPr>
          <w:rFonts w:ascii="Google Sans Text" w:cs="Google Sans Text" w:eastAsia="Google Sans Text" w:hAnsi="Google Sans Text"/>
          <w:b w:val="1"/>
          <w:bCs w:val="1"/>
          <w:color w:val="1f1f1f"/>
          <w:rtl w:val="0"/>
        </w:rPr>
        <w:t xml:space="preserve">250–500 kcal/d.</w:t>
      </w:r>
      <w:r w:rsidDel="00000000" w:rsidR="00000000" w:rsidRPr="00000000">
        <w:rPr>
          <w:rFonts w:ascii="Google Sans Text" w:cs="Google Sans Text" w:eastAsia="Google Sans Text" w:hAnsi="Google Sans Text"/>
          <w:color w:val="1f1f1f"/>
          <w:rtl w:val="0"/>
        </w:rPr>
        <w:t xml:space="preserve">). Tai leidžia maksimalizuoti raumenų augimą minimizuojant riebalų kaupimąsi.</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Pažengusiems atletams:</w:t>
      </w:r>
      <w:r w:rsidDel="00000000" w:rsidR="00000000" w:rsidRPr="00000000">
        <w:rPr>
          <w:rFonts w:ascii="Google Sans Text" w:cs="Google Sans Text" w:eastAsia="Google Sans Text" w:hAnsi="Google Sans Text"/>
          <w:color w:val="1f1f1f"/>
          <w:rtl w:val="0"/>
        </w:rPr>
        <w:t xml:space="preserve"> Kuo didesnis treniruotumo stažas, tuo lėtesnis genetinio potencialo raumenų augimui realizavimas. Pažengusiems atletams didelis perteklius (&gt;500 kcal) dažniausiai lemia tik nereikalingą riebalų kaupimąsi ("dirty bulk"). Rekomenduojamas minimalus perteklius (</w:t>
      </w:r>
      <w:r w:rsidDel="00000000" w:rsidR="00000000" w:rsidRPr="00000000">
        <w:rPr>
          <w:rFonts w:ascii="Google Sans Text" w:cs="Google Sans Text" w:eastAsia="Google Sans Text" w:hAnsi="Google Sans Text"/>
          <w:b w:val="1"/>
          <w:bCs w:val="1"/>
          <w:color w:val="1f1f1f"/>
          <w:rtl w:val="0"/>
        </w:rPr>
        <w:t xml:space="preserve">~200–300 kcal/d.</w:t>
      </w:r>
      <w:r w:rsidDel="00000000" w:rsidR="00000000" w:rsidRPr="00000000">
        <w:rPr>
          <w:rFonts w:ascii="Google Sans Text" w:cs="Google Sans Text" w:eastAsia="Google Sans Text" w:hAnsi="Google Sans Text"/>
          <w:color w:val="1f1f1f"/>
          <w:rtl w:val="0"/>
        </w:rPr>
        <w:t xml:space="preserve">) arba ciklinis metodas.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Kūno rekompozicija:</w:t>
      </w:r>
      <w:r w:rsidDel="00000000" w:rsidR="00000000" w:rsidRPr="00000000">
        <w:rPr>
          <w:rFonts w:ascii="Google Sans Text" w:cs="Google Sans Text" w:eastAsia="Google Sans Text" w:hAnsi="Google Sans Text"/>
          <w:color w:val="1f1f1f"/>
          <w:rtl w:val="0"/>
        </w:rPr>
        <w:t xml:space="preserve"> Tai procesas, kai vienu metu metami riebalai ir auginami raumenys. Tai įmanoma, ypač pradedantiesiems, nutukusiems asmenims arba grįžtantiems po pertraukos ("raumenų atmintis"), tačiau reikalauja labai tikslios mitybos: nedidelio deficito derinimo su labai dideliu baltymų kiekiu (&gt;2.0 g/kg) ir jėgos treniruotėmis.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Baltymų Poreikis: Nuo Bazinio Išgyvenimo iki Elitinio Sporto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Baltymai yra struktūrinis organizmo pagrindas. Skirtingai nei riebalai ar angliavandeniai, baltymai neturi specializuoto "sandėlio" organizme – visi organizmo baltymai atlieka funkcinį vaidmenį (raumenys, fermentai, hormonai). Todėl nuolatinis jų tiekimas su maistu yra kritinis.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Standartinė rekomenduojama paros norma (RDA) – </w:t>
      </w:r>
      <w:r w:rsidDel="00000000" w:rsidR="00000000" w:rsidRPr="00000000">
        <w:rPr>
          <w:rFonts w:ascii="Google Sans Text" w:cs="Google Sans Text" w:eastAsia="Google Sans Text" w:hAnsi="Google Sans Text"/>
          <w:b w:val="1"/>
          <w:bCs w:val="1"/>
          <w:color w:val="1f1f1f"/>
          <w:rtl w:val="0"/>
        </w:rPr>
        <w:t xml:space="preserve">0.8 g/kg kūno masės</w:t>
      </w:r>
      <w:r w:rsidDel="00000000" w:rsidR="00000000" w:rsidRPr="00000000">
        <w:rPr>
          <w:rFonts w:ascii="Google Sans Text" w:cs="Google Sans Text" w:eastAsia="Google Sans Text" w:hAnsi="Google Sans Text"/>
          <w:color w:val="1f1f1f"/>
          <w:rtl w:val="0"/>
        </w:rPr>
        <w:t xml:space="preserve"> – yra nustatyta remiantis azoto balanso tyrimais sėdimą darbą dirbantiems asmenims. Tai yra </w:t>
      </w:r>
      <w:r w:rsidDel="00000000" w:rsidR="00000000" w:rsidRPr="00000000">
        <w:rPr>
          <w:rFonts w:ascii="Google Sans Text" w:cs="Google Sans Text" w:eastAsia="Google Sans Text" w:hAnsi="Google Sans Text"/>
          <w:i w:val="1"/>
          <w:iCs w:val="1"/>
          <w:color w:val="1f1f1f"/>
          <w:rtl w:val="0"/>
        </w:rPr>
        <w:t xml:space="preserve">minimalus</w:t>
      </w:r>
      <w:r w:rsidDel="00000000" w:rsidR="00000000" w:rsidRPr="00000000">
        <w:rPr>
          <w:rFonts w:ascii="Google Sans Text" w:cs="Google Sans Text" w:eastAsia="Google Sans Text" w:hAnsi="Google Sans Text"/>
          <w:color w:val="1f1f1f"/>
          <w:rtl w:val="0"/>
        </w:rPr>
        <w:t xml:space="preserve"> kiekis, reikalingas išvengti deficito, bet jis visiškai nepakankamas optimizuoti sveikatą, raumenų masę ar sportinius rezultatus fiziškai aktyviems žmonėms.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Tarptautinė sporto mitybos draugija (ISSN), Amerikos sporto medicinos koledžas (ACSM) ir Australijos sporto institutas (AIS) pateikia detalias rekomendacijas įvairioms populiacijoms.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Detali Baltymų Poreikio Lentelė</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 apibendrinta lentelė, integruojanti naujausius mokslinius duomenis: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Tikslinė Grupė / Fizinis Aktyvumas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Baltymų Poreikis (g/kg/d.)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Mokslinis Pagrindimas ir Komentarai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Sėdimas gyvenimo būdas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Minimalus kiekis sveikatos palaikymui. Vyresnio amžiaus žmonėms (&gt;65 m.) rekomenduojama arčiau 1.0–1.2 g/kg sarkopenijos prevencijai.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Rekreacinis sportas</w:t>
            </w:r>
            <w:r w:rsidDel="00000000" w:rsidR="00000000" w:rsidRPr="00000000">
              <w:rPr>
                <w:rFonts w:ascii="Google Sans Text" w:cs="Google Sans Text" w:eastAsia="Google Sans Text" w:hAnsi="Google Sans Text"/>
                <w:color w:val="1f1f1f"/>
                <w:shd w:fill="auto" w:val="clear"/>
                <w:rtl w:val="0"/>
              </w:rPr>
              <w:t xml:space="preserve"> (mėgėjai)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Asmenys, sportuojantys savo malonumui 3–4 k./sav. vidutiniu intensyvumu. Padidėjęs poreikis audinių atsinaujinimui.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Ištvermės sportas</w:t>
            </w:r>
            <w:r w:rsidDel="00000000" w:rsidR="00000000" w:rsidRPr="00000000">
              <w:rPr>
                <w:rFonts w:ascii="Google Sans Text" w:cs="Google Sans Text" w:eastAsia="Google Sans Text" w:hAnsi="Google Sans Text"/>
                <w:color w:val="1f1f1f"/>
                <w:shd w:fill="auto" w:val="clear"/>
                <w:rtl w:val="0"/>
              </w:rPr>
              <w:t xml:space="preserve"> (bėgimas, dviračiai, triatlonas)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Baltymai reikalingi mitochondrijų biogenezei, fermentų sintezei ir raumenų mikro-pažeidimų taisymui po ilgų nuotolių. Didžiausio krūvio periodais (pvz., "Tour de France") poreikis gali siekti 1.6–1.8 g/kg.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Jėgos ir galios sportas</w:t>
            </w:r>
            <w:r w:rsidDel="00000000" w:rsidR="00000000" w:rsidRPr="00000000">
              <w:rPr>
                <w:rFonts w:ascii="Google Sans Text" w:cs="Google Sans Text" w:eastAsia="Google Sans Text" w:hAnsi="Google Sans Text"/>
                <w:color w:val="1f1f1f"/>
                <w:shd w:fill="auto" w:val="clear"/>
                <w:rtl w:val="0"/>
              </w:rPr>
              <w:t xml:space="preserve"> (kultūrizmas, sunkioji atletika, regbis)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 –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Optimalus diapazonas maksimaliai Raumenų Baltymų Sintezei (MPS) skatinti. Tyrimai rodo, kad esant teigiamam energijos balansui, suvartojimas virš 2.2 g/kg nesuteikia papildomos naudos raumenų augimui.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Svorio metimas (hipokalorinė dieta)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 –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Kritinė rekomendacija.</w:t>
            </w:r>
            <w:r w:rsidDel="00000000" w:rsidR="00000000" w:rsidRPr="00000000">
              <w:rPr>
                <w:rFonts w:ascii="Google Sans Text" w:cs="Google Sans Text" w:eastAsia="Google Sans Text" w:hAnsi="Google Sans Text"/>
                <w:color w:val="1f1f1f"/>
                <w:shd w:fill="auto" w:val="clear"/>
                <w:rtl w:val="0"/>
              </w:rPr>
              <w:t xml:space="preserve"> Esant energijos deficitui, organizmas pradeda naudoti aminorūgštis kaip energijos šaltinį (gliukoneogenezė). Norint apsaugoti LBM nuo irimo, būtina drastiškai padidinti baltymų kiekį. Liesiems atletams ("cutting" fazėje) rekomenduojama viršutinė riba (iki 3.1 g/kg).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Traumų reabilitacija / Imobilizacija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Traumų metu (pvz., po operacijos) kataboliniai procesai dominuoja. Didelis baltymų kiekis padeda sumažinti raumenų atrofiją nejudrumo periodu. </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Moterys sportininkės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Rekomendacijos panašios kaip vyrams, tačiau kartais nurodoma ~15% mažesnė norma (g/kg) dėl mažesnės oksidacijos krūvio metu, visgi praktikoje dažnai taikomi tie patys standartai (1.6-2.0 g/kg jėgos sporte).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Baltymų Vartojimo Laikas (Timing) ir Kokybė</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 tik bendras baltymų kiekis, bet ir jų paskirstymas paros bėgyje (protein distribution) yra svarbus veiksnys MPS optimizavimui.</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Leucino slenkstis:</w:t>
      </w:r>
      <w:r w:rsidDel="00000000" w:rsidR="00000000" w:rsidRPr="00000000">
        <w:rPr>
          <w:rFonts w:ascii="Google Sans Text" w:cs="Google Sans Text" w:eastAsia="Google Sans Text" w:hAnsi="Google Sans Text"/>
          <w:color w:val="1f1f1f"/>
          <w:rtl w:val="0"/>
        </w:rPr>
        <w:t xml:space="preserve"> Norint pilnai aktyvuoti MPS mechanizmą (per mTOR signalinį kelią), vieno valgymo metu reikia gauti apie 2–3 g leucino (nepakeičiama aminorūgštis). Tai atitinka maždaug </w:t>
      </w:r>
      <w:r w:rsidDel="00000000" w:rsidR="00000000" w:rsidRPr="00000000">
        <w:rPr>
          <w:rFonts w:ascii="Google Sans Text" w:cs="Google Sans Text" w:eastAsia="Google Sans Text" w:hAnsi="Google Sans Text"/>
          <w:b w:val="1"/>
          <w:bCs w:val="1"/>
          <w:color w:val="1f1f1f"/>
          <w:rtl w:val="0"/>
        </w:rPr>
        <w:t xml:space="preserve">20–40 g</w:t>
      </w:r>
      <w:r w:rsidDel="00000000" w:rsidR="00000000" w:rsidRPr="00000000">
        <w:rPr>
          <w:rFonts w:ascii="Google Sans Text" w:cs="Google Sans Text" w:eastAsia="Google Sans Text" w:hAnsi="Google Sans Text"/>
          <w:color w:val="1f1f1f"/>
          <w:rtl w:val="0"/>
        </w:rPr>
        <w:t xml:space="preserve"> aukštos kokybės baltymų (pvz., išrūgų baltymo, mėsos, kiaušinių).</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Porcijų dažnis:</w:t>
      </w:r>
      <w:r w:rsidDel="00000000" w:rsidR="00000000" w:rsidRPr="00000000">
        <w:rPr>
          <w:rFonts w:ascii="Google Sans Text" w:cs="Google Sans Text" w:eastAsia="Google Sans Text" w:hAnsi="Google Sans Text"/>
          <w:color w:val="1f1f1f"/>
          <w:rtl w:val="0"/>
        </w:rPr>
        <w:t xml:space="preserve"> Rekomenduojama baltymus paskirstyti į 4–5 valgymus kas 3–4 valandas (po </w:t>
      </w:r>
      <w:r w:rsidDel="00000000" w:rsidR="00000000" w:rsidRPr="00000000">
        <w:rPr>
          <w:rFonts w:ascii="Google Sans Text" w:cs="Google Sans Text" w:eastAsia="Google Sans Text" w:hAnsi="Google Sans Text"/>
          <w:b w:val="1"/>
          <w:bCs w:val="1"/>
          <w:color w:val="1f1f1f"/>
          <w:rtl w:val="0"/>
        </w:rPr>
        <w:t xml:space="preserve">0.25 – 0.40 g/kg</w:t>
      </w:r>
      <w:r w:rsidDel="00000000" w:rsidR="00000000" w:rsidRPr="00000000">
        <w:rPr>
          <w:rFonts w:ascii="Google Sans Text" w:cs="Google Sans Text" w:eastAsia="Google Sans Text" w:hAnsi="Google Sans Text"/>
          <w:color w:val="1f1f1f"/>
          <w:rtl w:val="0"/>
        </w:rPr>
        <w:t xml:space="preserve"> kiekvienam valgymui). Tai efektyviau palaiko anabolinę būseną nei visa paros norma viename valgyme.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Prieš miegą:</w:t>
      </w:r>
      <w:r w:rsidDel="00000000" w:rsidR="00000000" w:rsidRPr="00000000">
        <w:rPr>
          <w:rFonts w:ascii="Google Sans Text" w:cs="Google Sans Text" w:eastAsia="Google Sans Text" w:hAnsi="Google Sans Text"/>
          <w:color w:val="1f1f1f"/>
          <w:rtl w:val="0"/>
        </w:rPr>
        <w:t xml:space="preserve"> Vartojant </w:t>
      </w:r>
      <w:r w:rsidDel="00000000" w:rsidR="00000000" w:rsidRPr="00000000">
        <w:rPr>
          <w:rFonts w:ascii="Google Sans Text" w:cs="Google Sans Text" w:eastAsia="Google Sans Text" w:hAnsi="Google Sans Text"/>
          <w:b w:val="1"/>
          <w:bCs w:val="1"/>
          <w:color w:val="1f1f1f"/>
          <w:rtl w:val="0"/>
        </w:rPr>
        <w:t xml:space="preserve">30–40 g kazeino</w:t>
      </w:r>
      <w:r w:rsidDel="00000000" w:rsidR="00000000" w:rsidRPr="00000000">
        <w:rPr>
          <w:rFonts w:ascii="Google Sans Text" w:cs="Google Sans Text" w:eastAsia="Google Sans Text" w:hAnsi="Google Sans Text"/>
          <w:color w:val="1f1f1f"/>
          <w:rtl w:val="0"/>
        </w:rPr>
        <w:t xml:space="preserve"> (lėto pasisavinimo baltymo) prieš miegą, pagerinama naktinė baltymų sintezė ir raumenų atsistatymas, nedarant neigiamos įtakos riebalų oksidacijai.</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Apibendrinimas ir Praktinis Algoritmas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tikslus energijos poreikių nustatymas yra moksliškai pagrįstas procesas, reikalaujantis individualizuoto požiūrio. Žemiau pateikiamas algoritmas, apjungiantis visas ataskaitoje išnagrinėtas metodikas:</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RMR Skaičiavimas:</w:t>
      </w:r>
      <w:r w:rsidDel="00000000" w:rsidR="00000000" w:rsidRPr="00000000">
        <w:rPr>
          <w:rFonts w:ascii="Google Sans Text" w:cs="Google Sans Text" w:eastAsia="Google Sans Text" w:hAnsi="Google Sans Text"/>
          <w:color w:val="1f1f1f"/>
          <w:rtl w:val="0"/>
        </w:rPr>
        <w:t xml:space="preserve"> Naudoti </w:t>
      </w:r>
      <w:r w:rsidDel="00000000" w:rsidR="00000000" w:rsidRPr="00000000">
        <w:rPr>
          <w:rFonts w:ascii="Google Sans Text" w:cs="Google Sans Text" w:eastAsia="Google Sans Text" w:hAnsi="Google Sans Text"/>
          <w:b w:val="1"/>
          <w:bCs w:val="1"/>
          <w:color w:val="1f1f1f"/>
          <w:rtl w:val="0"/>
        </w:rPr>
        <w:t xml:space="preserve">Mifflin-St Jeor</w:t>
      </w:r>
      <w:r w:rsidDel="00000000" w:rsidR="00000000" w:rsidRPr="00000000">
        <w:rPr>
          <w:rFonts w:ascii="Google Sans Text" w:cs="Google Sans Text" w:eastAsia="Google Sans Text" w:hAnsi="Google Sans Text"/>
          <w:color w:val="1f1f1f"/>
          <w:rtl w:val="0"/>
        </w:rPr>
        <w:t xml:space="preserve"> lygtį kaip pirminį pasirinkimą daugumai klientų (tiek normalaus svorio, tiek nutukusiems). Išimtiniais atvejais (pvz., hipermraumeningiems atletams), jei žinoma liesoji kūno masė, galima svarstyti Cunningham lygtį, tačiau Mifflin išlieka saugiu standartu.</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PAL Parinkimas:</w:t>
      </w:r>
      <w:r w:rsidDel="00000000" w:rsidR="00000000" w:rsidRPr="00000000">
        <w:rPr>
          <w:rFonts w:ascii="Google Sans Text" w:cs="Google Sans Text" w:eastAsia="Google Sans Text" w:hAnsi="Google Sans Text"/>
          <w:color w:val="1f1f1f"/>
          <w:rtl w:val="0"/>
        </w:rPr>
        <w:t xml:space="preserve"> Vadovautis </w:t>
      </w:r>
      <w:r w:rsidDel="00000000" w:rsidR="00000000" w:rsidRPr="00000000">
        <w:rPr>
          <w:rFonts w:ascii="Google Sans Text" w:cs="Google Sans Text" w:eastAsia="Google Sans Text" w:hAnsi="Google Sans Text"/>
          <w:b w:val="1"/>
          <w:bCs w:val="1"/>
          <w:color w:val="1f1f1f"/>
          <w:rtl w:val="0"/>
        </w:rPr>
        <w:t xml:space="preserve">FAO/WHO 2004</w:t>
      </w:r>
      <w:r w:rsidDel="00000000" w:rsidR="00000000" w:rsidRPr="00000000">
        <w:rPr>
          <w:rFonts w:ascii="Google Sans Text" w:cs="Google Sans Text" w:eastAsia="Google Sans Text" w:hAnsi="Google Sans Text"/>
          <w:color w:val="1f1f1f"/>
          <w:rtl w:val="0"/>
        </w:rPr>
        <w:t xml:space="preserve"> kategorijomis. Būti konservatyviems su "sėdimo darbo" klientais (PAL 1.4–1.6), net jei jie sportuoja. Sportininkams taikyti specifinius koeficientus (1.7–2.0+).</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Tikslų Nustatymas:</w:t>
      </w:r>
    </w:p>
    <w:p w:rsidR="00000000" w:rsidDel="00000000" w:rsidP="00000000" w:rsidRDefault="00000000" w:rsidRPr="00000000" w14:paraId="000000B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Svorio metimas:</w:t>
      </w:r>
      <w:r w:rsidDel="00000000" w:rsidR="00000000" w:rsidRPr="00000000">
        <w:rPr>
          <w:rFonts w:ascii="Google Sans Text" w:cs="Google Sans Text" w:eastAsia="Google Sans Text" w:hAnsi="Google Sans Text"/>
          <w:color w:val="1f1f1f"/>
          <w:rtl w:val="0"/>
        </w:rPr>
        <w:t xml:space="preserve"> Atimti 10–20 % nuo TEE arba 500 kcal. Baltymus didinti iki 2.3–3.1 g/kg.</w:t>
      </w:r>
    </w:p>
    <w:p w:rsidR="00000000" w:rsidDel="00000000" w:rsidP="00000000" w:rsidRDefault="00000000" w:rsidRPr="00000000" w14:paraId="000000B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Raumenų auginimas:</w:t>
      </w:r>
      <w:r w:rsidDel="00000000" w:rsidR="00000000" w:rsidRPr="00000000">
        <w:rPr>
          <w:rFonts w:ascii="Google Sans Text" w:cs="Google Sans Text" w:eastAsia="Google Sans Text" w:hAnsi="Google Sans Text"/>
          <w:color w:val="1f1f1f"/>
          <w:rtl w:val="0"/>
        </w:rPr>
        <w:t xml:space="preserve"> Pridėti 10–20 % prie TEE. Baltymus laikyti 1.6–2.2 g/kg ribose.</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Stebėsena ir Korekcija:</w:t>
      </w:r>
      <w:r w:rsidDel="00000000" w:rsidR="00000000" w:rsidRPr="00000000">
        <w:rPr>
          <w:rFonts w:ascii="Google Sans Text" w:cs="Google Sans Text" w:eastAsia="Google Sans Text" w:hAnsi="Google Sans Text"/>
          <w:color w:val="1f1f1f"/>
          <w:rtl w:val="0"/>
        </w:rPr>
        <w:t xml:space="preserve"> Jokia formulė nėra tobula. Tai yra tik startinė pozicija. Būtina stebėti svorio ir kūno apimčių pokyčius kas 2 savaites ir atitinkamai koreguoti kalorijų kiekį, atsižvelgiant į realų organizmo atsaką ir metabolinę adaptaciją.</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išsami analizė suteikia specialistams visus reikiamus įrankius tiksliam ir moksliškai pagrįstam mitybos planavimui.</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Diet Strategies for Weight Loss and Weight Loss Maintenance - PMC, pasiekta sausio 1,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https://pmc.ncbi.nlm.nih.gov/articles/PMC8017325/</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principles and definitions - Human energy requirements, pasiekta sausio 1, 2026, </w:t>
      </w:r>
      <w:hyperlink r:id="rId7">
        <w:r w:rsidDel="00000000" w:rsidR="00000000" w:rsidRPr="00000000">
          <w:rPr>
            <w:rFonts w:ascii="Google Sans" w:cs="Google Sans" w:eastAsia="Google Sans" w:hAnsi="Google Sans"/>
            <w:color w:val="0000ee"/>
            <w:sz w:val="24"/>
            <w:szCs w:val="24"/>
            <w:u w:val="single"/>
            <w:rtl w:val="0"/>
          </w:rPr>
          <w:t xml:space="preserve">https://www.fao.org/4/y5686e/y5686e04.htm</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Affecting Energy Expenditure and Requirements - NCBI - NIH, pasiekta sausio 1, 2026, </w:t>
      </w:r>
      <w:hyperlink r:id="rId8">
        <w:r w:rsidDel="00000000" w:rsidR="00000000" w:rsidRPr="00000000">
          <w:rPr>
            <w:rFonts w:ascii="Google Sans" w:cs="Google Sans" w:eastAsia="Google Sans" w:hAnsi="Google Sans"/>
            <w:color w:val="0000ee"/>
            <w:sz w:val="24"/>
            <w:szCs w:val="24"/>
            <w:u w:val="single"/>
            <w:rtl w:val="0"/>
          </w:rPr>
          <w:t xml:space="preserve">https://www.ncbi.nlm.nih.gov/books/NBK591031/</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calorimetry vs. prediction equations: Which is more accurate for energy requirements? - Consensus, pasiekta sausio 1, 2026, </w:t>
      </w:r>
      <w:hyperlink r:id="rId9">
        <w:r w:rsidDel="00000000" w:rsidR="00000000" w:rsidRPr="00000000">
          <w:rPr>
            <w:rFonts w:ascii="Google Sans" w:cs="Google Sans" w:eastAsia="Google Sans" w:hAnsi="Google Sans"/>
            <w:color w:val="0000ee"/>
            <w:sz w:val="24"/>
            <w:szCs w:val="24"/>
            <w:u w:val="single"/>
            <w:rtl w:val="0"/>
          </w:rPr>
          <w:t xml:space="preserve">https://consensus.app/search/indirect-calorimetry-vs-prediction-equations-which/N652_7LVR3eStsZCevB0Og/</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BMR (Basal Metabolic Rate): What It Is &amp; How To Calculate It - Cleveland Clinic, pasiekta sausio 1, 2026, </w:t>
      </w:r>
      <w:hyperlink r:id="rId10">
        <w:r w:rsidDel="00000000" w:rsidR="00000000" w:rsidRPr="00000000">
          <w:rPr>
            <w:rFonts w:ascii="Google Sans" w:cs="Google Sans" w:eastAsia="Google Sans" w:hAnsi="Google Sans"/>
            <w:color w:val="0000ee"/>
            <w:sz w:val="24"/>
            <w:szCs w:val="24"/>
            <w:u w:val="single"/>
            <w:rtl w:val="0"/>
          </w:rPr>
          <w:t xml:space="preserve">https://my.clevelandclinic.org/health/body/basal-metabolic-rate-bmr</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predictive equation for resting energy expenditure in healthy individuals - PubMed, pasiekta sausio 1, 2026, </w:t>
      </w:r>
      <w:hyperlink r:id="rId11">
        <w:r w:rsidDel="00000000" w:rsidR="00000000" w:rsidRPr="00000000">
          <w:rPr>
            <w:rFonts w:ascii="Google Sans" w:cs="Google Sans" w:eastAsia="Google Sans" w:hAnsi="Google Sans"/>
            <w:color w:val="0000ee"/>
            <w:sz w:val="24"/>
            <w:szCs w:val="24"/>
            <w:u w:val="single"/>
            <w:rtl w:val="0"/>
          </w:rPr>
          <w:t xml:space="preserve">https://pubmed.ncbi.nlm.nih.gov/2305711/</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Mifflin-St Jeor Equation - Medscape Reference, pasiekta sausio 1, 2026, </w:t>
      </w:r>
      <w:hyperlink r:id="rId12">
        <w:r w:rsidDel="00000000" w:rsidR="00000000" w:rsidRPr="00000000">
          <w:rPr>
            <w:rFonts w:ascii="Google Sans" w:cs="Google Sans" w:eastAsia="Google Sans" w:hAnsi="Google Sans"/>
            <w:color w:val="0000ee"/>
            <w:sz w:val="24"/>
            <w:szCs w:val="24"/>
            <w:u w:val="single"/>
            <w:rtl w:val="0"/>
          </w:rPr>
          <w:t xml:space="preserve">https://reference.medscape.com/calculator/846/mifflin-st-jeor-equation</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Basal metabolic rate using indirect calorimetry among individuals living with overweight or obesity: The accuracy of predictive equations for basal metabolic rate - PubMed, pasiekta sausio 1, 2026, </w:t>
      </w:r>
      <w:hyperlink r:id="rId13">
        <w:r w:rsidDel="00000000" w:rsidR="00000000" w:rsidRPr="00000000">
          <w:rPr>
            <w:rFonts w:ascii="Google Sans" w:cs="Google Sans" w:eastAsia="Google Sans" w:hAnsi="Google Sans"/>
            <w:color w:val="0000ee"/>
            <w:sz w:val="24"/>
            <w:szCs w:val="24"/>
            <w:u w:val="single"/>
            <w:rtl w:val="0"/>
          </w:rPr>
          <w:t xml:space="preserve">https://pubmed.ncbi.nlm.nih.gov/38220405/</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Harris–Benedict equation - Wikipedia, pasiekta sausio 1,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https://en.wikipedia.org/wiki/Harris%E2%80%93Benedict_equation</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Revised Harris–Benedict Equation: New Human Resting Metabolic Rate Equation - PMC, pasiekta sausio 1,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https://pmc.ncbi.nlm.nih.gov/articles/PMC9967803/</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Indirect Calorimetry and Predictive Equations in Estimating Resting Metabolic Rate in Underweight Females - PMC - NIH, pasiekta sausio 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https://pmc.ncbi.nlm.nih.gov/articles/PMC4524307/</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energy requirements - FAO Knowledge Repository, pasiekta sausio 1, 2026, </w:t>
      </w:r>
      <w:hyperlink r:id="rId17">
        <w:r w:rsidDel="00000000" w:rsidR="00000000" w:rsidRPr="00000000">
          <w:rPr>
            <w:rFonts w:ascii="Google Sans" w:cs="Google Sans" w:eastAsia="Google Sans" w:hAnsi="Google Sans"/>
            <w:color w:val="0000ee"/>
            <w:sz w:val="24"/>
            <w:szCs w:val="24"/>
            <w:u w:val="single"/>
            <w:rtl w:val="0"/>
          </w:rPr>
          <w:t xml:space="preserve">https://openknowledge.fao.org/server/api/core/bitstreams/65875dc7-f8c5-4a70-b0e1-f429793860ae/content</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5.4 Energy requirements and dietary energy recommendations, pasiekta sausio 1, 2026, </w:t>
      </w:r>
      <w:hyperlink r:id="rId18">
        <w:r w:rsidDel="00000000" w:rsidR="00000000" w:rsidRPr="00000000">
          <w:rPr>
            <w:rFonts w:ascii="Google Sans" w:cs="Google Sans" w:eastAsia="Google Sans" w:hAnsi="Google Sans"/>
            <w:color w:val="0000ee"/>
            <w:sz w:val="24"/>
            <w:szCs w:val="24"/>
            <w:u w:val="single"/>
            <w:rtl w:val="0"/>
          </w:rPr>
          <w:t xml:space="preserve">https://www.fao.org/4/y5686e/y5686e08.htm</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energy requirements of adults - Food and Agriculture Organization of the United Nations, pasiekta sausio 1, 2026, </w:t>
      </w:r>
      <w:hyperlink r:id="rId19">
        <w:r w:rsidDel="00000000" w:rsidR="00000000" w:rsidRPr="00000000">
          <w:rPr>
            <w:rFonts w:ascii="Google Sans" w:cs="Google Sans" w:eastAsia="Google Sans" w:hAnsi="Google Sans"/>
            <w:color w:val="0000ee"/>
            <w:sz w:val="24"/>
            <w:szCs w:val="24"/>
            <w:u w:val="single"/>
            <w:rtl w:val="0"/>
          </w:rPr>
          <w:t xml:space="preserve">https://www.fao.org/4/y5686e/y5686e07.htm</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Daily Activity Pattern to Estimate the Physical Activity Level and Energy Expenditure of Elite and Non-Elite Athletes - MDPI, pasiekta sausio 1, 2026, </w:t>
      </w:r>
      <w:hyperlink r:id="rId20">
        <w:r w:rsidDel="00000000" w:rsidR="00000000" w:rsidRPr="00000000">
          <w:rPr>
            <w:rFonts w:ascii="Google Sans" w:cs="Google Sans" w:eastAsia="Google Sans" w:hAnsi="Google Sans"/>
            <w:color w:val="0000ee"/>
            <w:sz w:val="24"/>
            <w:szCs w:val="24"/>
            <w:u w:val="single"/>
            <w:rtl w:val="0"/>
          </w:rPr>
          <w:t xml:space="preserve">https://www.mdpi.com/2076-3417/13/5/2763</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of Medicine Equation - Wikipedia, pasiekta sausio 1,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https://en.wikipedia.org/wiki/Institute_of_Medicine_Equation</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Dietary Reference Intakes for Energy - NCBI Bookshelf, pasiekta sausio 1, 2026, </w:t>
      </w:r>
      <w:hyperlink r:id="rId22">
        <w:r w:rsidDel="00000000" w:rsidR="00000000" w:rsidRPr="00000000">
          <w:rPr>
            <w:rFonts w:ascii="Google Sans" w:cs="Google Sans" w:eastAsia="Google Sans" w:hAnsi="Google Sans"/>
            <w:color w:val="0000ee"/>
            <w:sz w:val="24"/>
            <w:szCs w:val="24"/>
            <w:u w:val="single"/>
            <w:rtl w:val="0"/>
          </w:rPr>
          <w:t xml:space="preserve">https://www.ncbi.nlm.nih.gov/books/NBK591034/</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&amp; TECHNIQUES An Easy Approach to Calculating Estimated Energy Requirements - CDC, pasiekta sausio 1, 2026, </w:t>
      </w:r>
      <w:hyperlink r:id="rId23">
        <w:r w:rsidDel="00000000" w:rsidR="00000000" w:rsidRPr="00000000">
          <w:rPr>
            <w:rFonts w:ascii="Google Sans" w:cs="Google Sans" w:eastAsia="Google Sans" w:hAnsi="Google Sans"/>
            <w:color w:val="0000ee"/>
            <w:sz w:val="24"/>
            <w:szCs w:val="24"/>
            <w:u w:val="single"/>
            <w:rtl w:val="0"/>
          </w:rPr>
          <w:t xml:space="preserve">https://www.cdc.gov/pcd/issues/2006/oct/06_0034.htm</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Thermic effect of a meal and appetite in adults: an individual participant data meta-analysis of meal-test trials - NIH, pasiekta sausio 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https://pmc.ncbi.nlm.nih.gov/articles/PMC3873760/</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thermic effect of food - Revolution Personal Training Studios, pasiekta sausio 1, 2026, </w:t>
      </w:r>
      <w:hyperlink r:id="rId25">
        <w:r w:rsidDel="00000000" w:rsidR="00000000" w:rsidRPr="00000000">
          <w:rPr>
            <w:rFonts w:ascii="Google Sans" w:cs="Google Sans" w:eastAsia="Google Sans" w:hAnsi="Google Sans"/>
            <w:color w:val="0000ee"/>
            <w:sz w:val="24"/>
            <w:szCs w:val="24"/>
            <w:u w:val="single"/>
            <w:rtl w:val="0"/>
          </w:rPr>
          <w:t xml:space="preserve">https://www.revolution-pts.com/blog/understanding-the-thermic-effect-of-food</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Dietary Protein Source and Quantity during Weight Loss on Appetite, Energy Expenditure, and Cardio-Metabolic Responses - MDPI, pasiekta sausio 1, 2026, </w:t>
      </w:r>
      <w:hyperlink r:id="rId26">
        <w:r w:rsidDel="00000000" w:rsidR="00000000" w:rsidRPr="00000000">
          <w:rPr>
            <w:rFonts w:ascii="Google Sans" w:cs="Google Sans" w:eastAsia="Google Sans" w:hAnsi="Google Sans"/>
            <w:color w:val="0000ee"/>
            <w:sz w:val="24"/>
            <w:szCs w:val="24"/>
            <w:u w:val="single"/>
            <w:rtl w:val="0"/>
          </w:rPr>
          <w:t xml:space="preserve">https://www.mdpi.com/2072-6643/8/2/63</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THERMIC EFFECT OF FOOD - Glycemic Index, pasiekta sausio 1, 2026, </w:t>
      </w:r>
      <w:hyperlink r:id="rId27">
        <w:r w:rsidDel="00000000" w:rsidR="00000000" w:rsidRPr="00000000">
          <w:rPr>
            <w:rFonts w:ascii="Google Sans" w:cs="Google Sans" w:eastAsia="Google Sans" w:hAnsi="Google Sans"/>
            <w:color w:val="0000ee"/>
            <w:sz w:val="24"/>
            <w:szCs w:val="24"/>
            <w:u w:val="single"/>
            <w:rtl w:val="0"/>
          </w:rPr>
          <w:t xml:space="preserve">https://glycemicindex.com/2022/01/the-thermic-effect-of-food/</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Thermic Effect Of Food - Ultrahuman Blog, pasiekta sausio 1, 2026, </w:t>
      </w:r>
      <w:hyperlink r:id="rId28">
        <w:r w:rsidDel="00000000" w:rsidR="00000000" w:rsidRPr="00000000">
          <w:rPr>
            <w:rFonts w:ascii="Google Sans" w:cs="Google Sans" w:eastAsia="Google Sans" w:hAnsi="Google Sans"/>
            <w:color w:val="0000ee"/>
            <w:sz w:val="24"/>
            <w:szCs w:val="24"/>
            <w:u w:val="single"/>
            <w:rtl w:val="0"/>
          </w:rPr>
          <w:t xml:space="preserve">https://blog.ultrahuman.com/blog/thermic-effect-of-food/</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Thermic Effect of Food: A Review, pasiekta sausio 1, 2026, </w:t>
      </w:r>
      <w:hyperlink r:id="rId29">
        <w:r w:rsidDel="00000000" w:rsidR="00000000" w:rsidRPr="00000000">
          <w:rPr>
            <w:rFonts w:ascii="Google Sans" w:cs="Google Sans" w:eastAsia="Google Sans" w:hAnsi="Google Sans"/>
            <w:color w:val="0000ee"/>
            <w:sz w:val="24"/>
            <w:szCs w:val="24"/>
            <w:u w:val="single"/>
            <w:rtl w:val="0"/>
          </w:rPr>
          <w:t xml:space="preserve">http://thehubedu-production.s3.amazonaws.com/uploads/3/c048b006-6779-4df1-934f-615f50f8c9fa/The_Thermic_Effect_of_Food_A_Review_1_.pdf</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Thermic effect of food in man: effect of meal composition, and energy content - PubMed, pasiekta sausio 1, 2026, </w:t>
      </w:r>
      <w:hyperlink r:id="rId30">
        <w:r w:rsidDel="00000000" w:rsidR="00000000" w:rsidRPr="00000000">
          <w:rPr>
            <w:rFonts w:ascii="Google Sans" w:cs="Google Sans" w:eastAsia="Google Sans" w:hAnsi="Google Sans"/>
            <w:color w:val="0000ee"/>
            <w:sz w:val="24"/>
            <w:szCs w:val="24"/>
            <w:u w:val="single"/>
            <w:rtl w:val="0"/>
          </w:rPr>
          <w:t xml:space="preserve">https://pubmed.ncbi.nlm.nih.gov/2400767/</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Thermic effect of a meal and appetite in adults: an individual participant data meta-analysis of meal-test trials, pasiekta sausio 1, 2026, </w:t>
      </w:r>
      <w:hyperlink r:id="rId31">
        <w:r w:rsidDel="00000000" w:rsidR="00000000" w:rsidRPr="00000000">
          <w:rPr>
            <w:rFonts w:ascii="Google Sans" w:cs="Google Sans" w:eastAsia="Google Sans" w:hAnsi="Google Sans"/>
            <w:color w:val="0000ee"/>
            <w:sz w:val="24"/>
            <w:szCs w:val="24"/>
            <w:u w:val="single"/>
            <w:rtl w:val="0"/>
          </w:rPr>
          <w:t xml:space="preserve">https://foodandnutritionresearch.net/index.php/fnr/article/download/547/954/</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3500-Calorie Weight Loss Myth - American Institute for Cancer Research, pasiekta sausio 1, 2026, </w:t>
      </w:r>
      <w:hyperlink r:id="rId32">
        <w:r w:rsidDel="00000000" w:rsidR="00000000" w:rsidRPr="00000000">
          <w:rPr>
            <w:rFonts w:ascii="Google Sans" w:cs="Google Sans" w:eastAsia="Google Sans" w:hAnsi="Google Sans"/>
            <w:color w:val="0000ee"/>
            <w:sz w:val="24"/>
            <w:szCs w:val="24"/>
            <w:u w:val="single"/>
            <w:rtl w:val="0"/>
          </w:rPr>
          <w:t xml:space="preserve">https://www.aicr.org/news/the-3500-calorie-weight-loss-myth/</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Calorie Deficit Calculation Methods - Consensus Academic Search Engine, pasiekta sausio 1, 2026, </w:t>
      </w:r>
      <w:hyperlink r:id="rId33">
        <w:r w:rsidDel="00000000" w:rsidR="00000000" w:rsidRPr="00000000">
          <w:rPr>
            <w:rFonts w:ascii="Google Sans" w:cs="Google Sans" w:eastAsia="Google Sans" w:hAnsi="Google Sans"/>
            <w:color w:val="0000ee"/>
            <w:sz w:val="24"/>
            <w:szCs w:val="24"/>
            <w:u w:val="single"/>
            <w:rtl w:val="0"/>
          </w:rPr>
          <w:t xml:space="preserve">https://consensus.app/questions/calorie-deficit-calculation-methods/</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of weight loss can be predicted by patient characteristics and intervention strategies, pasiekta sausio 1,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https://pmc.ncbi.nlm.nih.gov/articles/PMC3447534/</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 TDEE Calculator to Optimize Your Nutrition - culinahealth.com, pasiekta sausio 1, 2026, </w:t>
      </w:r>
      <w:hyperlink r:id="rId35">
        <w:r w:rsidDel="00000000" w:rsidR="00000000" w:rsidRPr="00000000">
          <w:rPr>
            <w:rFonts w:ascii="Google Sans" w:cs="Google Sans" w:eastAsia="Google Sans" w:hAnsi="Google Sans"/>
            <w:color w:val="0000ee"/>
            <w:sz w:val="24"/>
            <w:szCs w:val="24"/>
            <w:u w:val="single"/>
            <w:rtl w:val="0"/>
          </w:rPr>
          <w:t xml:space="preserve">https://culinahealth.com/tdee-calculator/</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of Evidence-Based Recommendations - Clinical Guidelines on the Identification, Evaluation, and Treatment of Overweight and Obesity in Adults - NCBI, pasiekta sausio 1, 2026, </w:t>
      </w:r>
      <w:hyperlink r:id="rId36">
        <w:r w:rsidDel="00000000" w:rsidR="00000000" w:rsidRPr="00000000">
          <w:rPr>
            <w:rFonts w:ascii="Google Sans" w:cs="Google Sans" w:eastAsia="Google Sans" w:hAnsi="Google Sans"/>
            <w:color w:val="0000ee"/>
            <w:sz w:val="24"/>
            <w:szCs w:val="24"/>
            <w:u w:val="single"/>
            <w:rtl w:val="0"/>
          </w:rPr>
          <w:t xml:space="preserve">https://www.ncbi.nlm.nih.gov/books/NBK2009/</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for Losing Weight | Healthy Weight and Growth - CDC, pasiekta sausio 1, 2026, </w:t>
      </w:r>
      <w:hyperlink r:id="rId37">
        <w:r w:rsidDel="00000000" w:rsidR="00000000" w:rsidRPr="00000000">
          <w:rPr>
            <w:rFonts w:ascii="Google Sans" w:cs="Google Sans" w:eastAsia="Google Sans" w:hAnsi="Google Sans"/>
            <w:color w:val="0000ee"/>
            <w:sz w:val="24"/>
            <w:szCs w:val="24"/>
            <w:u w:val="single"/>
            <w:rtl w:val="0"/>
          </w:rPr>
          <w:t xml:space="preserve">https://www.cdc.gov/healthy-weight-growth/losing-weight/index.html</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 Energy Surplus Required to Maximize Skeletal Muscle Hypertrophy Associated With Resistance Training - PMC - NIH, pasiekta sausio 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https://pmc.ncbi.nlm.nih.gov/articles/PMC6710320/</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Hypercaloric and Hypocaloric Diet on Insulin-Induced Microvascular Recruitment, Glucose Uptake, and Lipolysis in Healthy Lean Men | Arteriosclerosis, Thrombosis, and Vascular Biology - American Heart Association Journals, pasiekta sausio 1, 2026, </w:t>
      </w:r>
      <w:hyperlink r:id="rId39">
        <w:r w:rsidDel="00000000" w:rsidR="00000000" w:rsidRPr="00000000">
          <w:rPr>
            <w:rFonts w:ascii="Google Sans" w:cs="Google Sans" w:eastAsia="Google Sans" w:hAnsi="Google Sans"/>
            <w:color w:val="0000ee"/>
            <w:sz w:val="24"/>
            <w:szCs w:val="24"/>
            <w:u w:val="single"/>
            <w:rtl w:val="0"/>
          </w:rPr>
          <w:t xml:space="preserve">https://www.ahajournals.org/doi/10.1161/ATVBAHA.120.314129</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Protein Intake Guide &amp; Calculator - Examine, pasiekta sausio 1, 2026, </w:t>
      </w:r>
      <w:hyperlink r:id="rId40">
        <w:r w:rsidDel="00000000" w:rsidR="00000000" w:rsidRPr="00000000">
          <w:rPr>
            <w:rFonts w:ascii="Google Sans" w:cs="Google Sans" w:eastAsia="Google Sans" w:hAnsi="Google Sans"/>
            <w:color w:val="0000ee"/>
            <w:sz w:val="24"/>
            <w:szCs w:val="24"/>
            <w:u w:val="single"/>
            <w:rtl w:val="0"/>
          </w:rPr>
          <w:t xml:space="preserve">https://examine.com/guides/protein-intake/</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PMC, pasiekta sausio 1,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https://pmc.ncbi.nlm.nih.gov/articles/PMC2117006/</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of the Working Group Sports Nutrition of The German Nutrition Society (DGE): Protein Intake in Sports, pasiekta sausio 1, 2026, </w:t>
      </w:r>
      <w:hyperlink r:id="rId42">
        <w:r w:rsidDel="00000000" w:rsidR="00000000" w:rsidRPr="00000000">
          <w:rPr>
            <w:rFonts w:ascii="Google Sans" w:cs="Google Sans" w:eastAsia="Google Sans" w:hAnsi="Google Sans"/>
            <w:color w:val="0000ee"/>
            <w:sz w:val="24"/>
            <w:szCs w:val="24"/>
            <w:u w:val="single"/>
            <w:rtl w:val="0"/>
          </w:rPr>
          <w:t xml:space="preserve">https://www.germanjournalsportsmedicine.com/archive/archive-2020/issue-7-8-9/protein-intake-in-sports-position-of-the-working-group-sports-nutrition-of-the-german-nutrition-society-dge/</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Estimating Protein Needs – Nutrition and Physical Fitness, pasiekta sausio 1, 2026, </w:t>
      </w:r>
      <w:hyperlink r:id="rId43">
        <w:r w:rsidDel="00000000" w:rsidR="00000000" w:rsidRPr="00000000">
          <w:rPr>
            <w:rFonts w:ascii="Google Sans" w:cs="Google Sans" w:eastAsia="Google Sans" w:hAnsi="Google Sans"/>
            <w:color w:val="0000ee"/>
            <w:sz w:val="24"/>
            <w:szCs w:val="24"/>
            <w:u w:val="single"/>
            <w:rtl w:val="0"/>
          </w:rPr>
          <w:t xml:space="preserve">https://pressbooks.calstate.edu/nutritionandfitness/chapter/7-5-estimating-protein-needs/</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 are you getting enough? - Triathlon &amp; Multisport Coaching, pasiekta sausio 1, 2026, </w:t>
      </w:r>
      <w:hyperlink r:id="rId44">
        <w:r w:rsidDel="00000000" w:rsidR="00000000" w:rsidRPr="00000000">
          <w:rPr>
            <w:rFonts w:ascii="Google Sans" w:cs="Google Sans" w:eastAsia="Google Sans" w:hAnsi="Google Sans"/>
            <w:color w:val="0000ee"/>
            <w:sz w:val="24"/>
            <w:szCs w:val="24"/>
            <w:u w:val="single"/>
            <w:rtl w:val="0"/>
          </w:rPr>
          <w:t xml:space="preserve">https://www.triathlonandmultisportcoaching.com.au/docs/protein.pdf</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Protein Do Athletes Really Need? - Science for Sport, pasiekta sausio 1, 2026, </w:t>
      </w:r>
      <w:hyperlink r:id="rId45">
        <w:r w:rsidDel="00000000" w:rsidR="00000000" w:rsidRPr="00000000">
          <w:rPr>
            <w:rFonts w:ascii="Google Sans" w:cs="Google Sans" w:eastAsia="Google Sans" w:hAnsi="Google Sans"/>
            <w:color w:val="0000ee"/>
            <w:sz w:val="24"/>
            <w:szCs w:val="24"/>
            <w:u w:val="single"/>
            <w:rtl w:val="0"/>
          </w:rPr>
          <w:t xml:space="preserve">https://www.scienceforsport.com/how-much-protein-do-athletes-really-need/</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Nutrition for Endurance Athletes: A Metabolic Focus on Promoting Recovery and Training Adaptation - PMC - NIH, pasiekta sausio 1,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https://pmc.ncbi.nlm.nih.gov/articles/PMC12152099/</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Association of Athletics Federations Consensus Statement 2019: Nutrition for Athletics in - Human Kinetics Journals, pasiekta sausio 1, 2026, </w:t>
      </w:r>
      <w:hyperlink r:id="rId47">
        <w:r w:rsidDel="00000000" w:rsidR="00000000" w:rsidRPr="00000000">
          <w:rPr>
            <w:rFonts w:ascii="Google Sans" w:cs="Google Sans" w:eastAsia="Google Sans" w:hAnsi="Google Sans"/>
            <w:color w:val="0000ee"/>
            <w:sz w:val="24"/>
            <w:szCs w:val="24"/>
            <w:u w:val="single"/>
            <w:rtl w:val="0"/>
          </w:rPr>
          <w:t xml:space="preserve">https://journals.humankinetics.com/view/journals/ijsnem/29/2/article-p73.xml</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Scholar Commons, pasiekta sausio 1, 2026, </w:t>
      </w:r>
      <w:hyperlink r:id="rId48">
        <w:r w:rsidDel="00000000" w:rsidR="00000000" w:rsidRPr="00000000">
          <w:rPr>
            <w:rFonts w:ascii="Google Sans" w:cs="Google Sans" w:eastAsia="Google Sans" w:hAnsi="Google Sans"/>
            <w:color w:val="0000ee"/>
            <w:sz w:val="24"/>
            <w:szCs w:val="24"/>
            <w:u w:val="single"/>
            <w:rtl w:val="0"/>
          </w:rPr>
          <w:t xml:space="preserve">https://scholarcommons.sc.edu/sph_physical_activity_public_health_facpub/366/</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questions and misconceptions about protein supplementation: what does the scientific evidence really show? - PubMed Central, pasiekta sausio 1,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https://pmc.ncbi.nlm.nih.gov/articles/PMC11022925/</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PubMed, pasiekta sausio 1,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https://pubmed.ncbi.nlm.nih.gov/28642676/</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diets and body composition - PMC, pasiekta sausio 1,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https://pmc.ncbi.nlm.nih.gov/articles/PMC5470183/</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Emerging Science of Rehabilitative Nutrition: Protein's Role as the Protagonist - Southeast ACSM Chapter, pasiekta sausio 1, 2026, </w:t>
      </w:r>
      <w:hyperlink r:id="rId52">
        <w:r w:rsidDel="00000000" w:rsidR="00000000" w:rsidRPr="00000000">
          <w:rPr>
            <w:rFonts w:ascii="Google Sans" w:cs="Google Sans" w:eastAsia="Google Sans" w:hAnsi="Google Sans"/>
            <w:color w:val="0000ee"/>
            <w:sz w:val="24"/>
            <w:szCs w:val="24"/>
            <w:u w:val="single"/>
            <w:rtl w:val="0"/>
          </w:rPr>
          <w:t xml:space="preserve">https://southeast.acsm.org/wp-content/uploads/2025/01/rodriguez_seacsm-2024-slidedeck_pdf.pdf</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MUSCLE PROTEIN METABOLISM AND PROTEIN REQUIREMENTS FOR FEMALE ATHLETES: ALIGNING SCIENCE WITH SEX-SPECIFIC NEEDS, pasiekta sausio 1, 2026, </w:t>
      </w:r>
      <w:hyperlink r:id="rId53">
        <w:r w:rsidDel="00000000" w:rsidR="00000000" w:rsidRPr="00000000">
          <w:rPr>
            <w:rFonts w:ascii="Google Sans" w:cs="Google Sans" w:eastAsia="Google Sans" w:hAnsi="Google Sans"/>
            <w:color w:val="0000ee"/>
            <w:sz w:val="24"/>
            <w:szCs w:val="24"/>
            <w:u w:val="single"/>
            <w:rtl w:val="0"/>
          </w:rPr>
          <w:t xml:space="preserve">https://www.gssiweb.org/en/sports-science-exchange/article/muscle-protein-metabolism-and-protein-requirements-for-female-athletes--aligning-science-with-sex-specific-needs</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PMC, pasiekta sausio 1,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https://pmc.ncbi.nlm.nih.gov/articles/PMC5477153/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xamine.com/guides/protein-intake/" TargetMode="External"/><Relationship Id="rId42" Type="http://schemas.openxmlformats.org/officeDocument/2006/relationships/hyperlink" Target="https://www.germanjournalsportsmedicine.com/archive/archive-2020/issue-7-8-9/protein-intake-in-sports-position-of-the-working-group-sports-nutrition-of-the-german-nutrition-society-dge/" TargetMode="External"/><Relationship Id="rId41" Type="http://schemas.openxmlformats.org/officeDocument/2006/relationships/hyperlink" Target="https://pmc.ncbi.nlm.nih.gov/articles/PMC2117006/" TargetMode="External"/><Relationship Id="rId44" Type="http://schemas.openxmlformats.org/officeDocument/2006/relationships/hyperlink" Target="https://www.triathlonandmultisportcoaching.com.au/docs/protein.pdf" TargetMode="External"/><Relationship Id="rId43" Type="http://schemas.openxmlformats.org/officeDocument/2006/relationships/hyperlink" Target="https://pressbooks.calstate.edu/nutritionandfitness/chapter/7-5-estimating-protein-needs/" TargetMode="External"/><Relationship Id="rId46" Type="http://schemas.openxmlformats.org/officeDocument/2006/relationships/hyperlink" Target="https://pmc.ncbi.nlm.nih.gov/articles/PMC12152099/" TargetMode="External"/><Relationship Id="rId45" Type="http://schemas.openxmlformats.org/officeDocument/2006/relationships/hyperlink" Target="https://www.scienceforsport.com/how-much-protein-do-athletes-really-ne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ensus.app/search/indirect-calorimetry-vs-prediction-equations-which/N652_7LVR3eStsZCevB0Og/" TargetMode="External"/><Relationship Id="rId48" Type="http://schemas.openxmlformats.org/officeDocument/2006/relationships/hyperlink" Target="https://scholarcommons.sc.edu/sph_physical_activity_public_health_facpub/366/" TargetMode="External"/><Relationship Id="rId47" Type="http://schemas.openxmlformats.org/officeDocument/2006/relationships/hyperlink" Target="https://journals.humankinetics.com/view/journals/ijsnem/29/2/article-p73.xml" TargetMode="External"/><Relationship Id="rId49" Type="http://schemas.openxmlformats.org/officeDocument/2006/relationships/hyperlink" Target="https://pmc.ncbi.nlm.nih.gov/articles/PMC11022925/" TargetMode="External"/><Relationship Id="rId5" Type="http://schemas.openxmlformats.org/officeDocument/2006/relationships/styles" Target="styles.xml"/><Relationship Id="rId6" Type="http://schemas.openxmlformats.org/officeDocument/2006/relationships/hyperlink" Target="https://pmc.ncbi.nlm.nih.gov/articles/PMC8017325/" TargetMode="External"/><Relationship Id="rId7" Type="http://schemas.openxmlformats.org/officeDocument/2006/relationships/hyperlink" Target="https://www.fao.org/4/y5686e/y5686e04.htm" TargetMode="External"/><Relationship Id="rId8" Type="http://schemas.openxmlformats.org/officeDocument/2006/relationships/hyperlink" Target="https://www.ncbi.nlm.nih.gov/books/NBK591031/" TargetMode="External"/><Relationship Id="rId31" Type="http://schemas.openxmlformats.org/officeDocument/2006/relationships/hyperlink" Target="https://foodandnutritionresearch.net/index.php/fnr/article/download/547/954/" TargetMode="External"/><Relationship Id="rId30" Type="http://schemas.openxmlformats.org/officeDocument/2006/relationships/hyperlink" Target="https://pubmed.ncbi.nlm.nih.gov/2400767/" TargetMode="External"/><Relationship Id="rId33" Type="http://schemas.openxmlformats.org/officeDocument/2006/relationships/hyperlink" Target="https://consensus.app/questions/calorie-deficit-calculation-methods/" TargetMode="External"/><Relationship Id="rId32" Type="http://schemas.openxmlformats.org/officeDocument/2006/relationships/hyperlink" Target="https://www.aicr.org/news/the-3500-calorie-weight-loss-myth/" TargetMode="External"/><Relationship Id="rId35" Type="http://schemas.openxmlformats.org/officeDocument/2006/relationships/hyperlink" Target="https://culinahealth.com/tdee-calculator/" TargetMode="External"/><Relationship Id="rId34" Type="http://schemas.openxmlformats.org/officeDocument/2006/relationships/hyperlink" Target="https://pmc.ncbi.nlm.nih.gov/articles/PMC3447534/" TargetMode="External"/><Relationship Id="rId37" Type="http://schemas.openxmlformats.org/officeDocument/2006/relationships/hyperlink" Target="https://www.cdc.gov/healthy-weight-growth/losing-weight/index.html" TargetMode="External"/><Relationship Id="rId36" Type="http://schemas.openxmlformats.org/officeDocument/2006/relationships/hyperlink" Target="https://www.ncbi.nlm.nih.gov/books/NBK2009/" TargetMode="External"/><Relationship Id="rId39" Type="http://schemas.openxmlformats.org/officeDocument/2006/relationships/hyperlink" Target="https://www.ahajournals.org/doi/10.1161/ATVBAHA.120.314129" TargetMode="External"/><Relationship Id="rId38" Type="http://schemas.openxmlformats.org/officeDocument/2006/relationships/hyperlink" Target="https://pmc.ncbi.nlm.nih.gov/articles/PMC6710320/" TargetMode="External"/><Relationship Id="rId20" Type="http://schemas.openxmlformats.org/officeDocument/2006/relationships/hyperlink" Target="https://www.mdpi.com/2076-3417/13/5/2763" TargetMode="External"/><Relationship Id="rId22" Type="http://schemas.openxmlformats.org/officeDocument/2006/relationships/hyperlink" Target="https://www.ncbi.nlm.nih.gov/books/NBK591034/" TargetMode="External"/><Relationship Id="rId21" Type="http://schemas.openxmlformats.org/officeDocument/2006/relationships/hyperlink" Target="https://en.wikipedia.org/wiki/Institute_of_Medicine_Equation" TargetMode="External"/><Relationship Id="rId24" Type="http://schemas.openxmlformats.org/officeDocument/2006/relationships/hyperlink" Target="https://pmc.ncbi.nlm.nih.gov/articles/PMC3873760/" TargetMode="External"/><Relationship Id="rId23" Type="http://schemas.openxmlformats.org/officeDocument/2006/relationships/hyperlink" Target="https://www.cdc.gov/pcd/issues/2006/oct/06_0034.htm" TargetMode="External"/><Relationship Id="rId26" Type="http://schemas.openxmlformats.org/officeDocument/2006/relationships/hyperlink" Target="https://www.mdpi.com/2072-6643/8/2/63" TargetMode="External"/><Relationship Id="rId25" Type="http://schemas.openxmlformats.org/officeDocument/2006/relationships/hyperlink" Target="https://www.revolution-pts.com/blog/understanding-the-thermic-effect-of-food" TargetMode="External"/><Relationship Id="rId28" Type="http://schemas.openxmlformats.org/officeDocument/2006/relationships/hyperlink" Target="https://blog.ultrahuman.com/blog/thermic-effect-of-food/" TargetMode="External"/><Relationship Id="rId27" Type="http://schemas.openxmlformats.org/officeDocument/2006/relationships/hyperlink" Target="https://glycemicindex.com/2022/01/the-thermic-effect-of-food/" TargetMode="External"/><Relationship Id="rId29" Type="http://schemas.openxmlformats.org/officeDocument/2006/relationships/hyperlink" Target="http://thehubedu-production.s3.amazonaws.com/uploads/3/c048b006-6779-4df1-934f-615f50f8c9fa/The_Thermic_Effect_of_Food_A_Review_1_.pdf" TargetMode="External"/><Relationship Id="rId51" Type="http://schemas.openxmlformats.org/officeDocument/2006/relationships/hyperlink" Target="https://pmc.ncbi.nlm.nih.gov/articles/PMC5470183/" TargetMode="External"/><Relationship Id="rId50" Type="http://schemas.openxmlformats.org/officeDocument/2006/relationships/hyperlink" Target="https://pubmed.ncbi.nlm.nih.gov/28642676/" TargetMode="External"/><Relationship Id="rId53" Type="http://schemas.openxmlformats.org/officeDocument/2006/relationships/hyperlink" Target="https://www.gssiweb.org/en/sports-science-exchange/article/muscle-protein-metabolism-and-protein-requirements-for-female-athletes--aligning-science-with-sex-specific-needs" TargetMode="External"/><Relationship Id="rId52" Type="http://schemas.openxmlformats.org/officeDocument/2006/relationships/hyperlink" Target="https://southeast.acsm.org/wp-content/uploads/2025/01/rodriguez_seacsm-2024-slidedeck_pdf.pdf" TargetMode="External"/><Relationship Id="rId11" Type="http://schemas.openxmlformats.org/officeDocument/2006/relationships/hyperlink" Target="https://pubmed.ncbi.nlm.nih.gov/2305711/" TargetMode="External"/><Relationship Id="rId10" Type="http://schemas.openxmlformats.org/officeDocument/2006/relationships/hyperlink" Target="https://my.clevelandclinic.org/health/body/basal-metabolic-rate-bmr" TargetMode="External"/><Relationship Id="rId54" Type="http://schemas.openxmlformats.org/officeDocument/2006/relationships/hyperlink" Target="https://pmc.ncbi.nlm.nih.gov/articles/PMC5477153/" TargetMode="External"/><Relationship Id="rId13" Type="http://schemas.openxmlformats.org/officeDocument/2006/relationships/hyperlink" Target="https://pubmed.ncbi.nlm.nih.gov/38220405/" TargetMode="External"/><Relationship Id="rId12" Type="http://schemas.openxmlformats.org/officeDocument/2006/relationships/hyperlink" Target="https://reference.medscape.com/calculator/846/mifflin-st-jeor-equation" TargetMode="External"/><Relationship Id="rId15" Type="http://schemas.openxmlformats.org/officeDocument/2006/relationships/hyperlink" Target="https://pmc.ncbi.nlm.nih.gov/articles/PMC9967803/" TargetMode="External"/><Relationship Id="rId14" Type="http://schemas.openxmlformats.org/officeDocument/2006/relationships/hyperlink" Target="https://en.wikipedia.org/wiki/Harris%E2%80%93Benedict_equation" TargetMode="External"/><Relationship Id="rId17" Type="http://schemas.openxmlformats.org/officeDocument/2006/relationships/hyperlink" Target="https://openknowledge.fao.org/server/api/core/bitstreams/65875dc7-f8c5-4a70-b0e1-f429793860ae/content" TargetMode="External"/><Relationship Id="rId16" Type="http://schemas.openxmlformats.org/officeDocument/2006/relationships/hyperlink" Target="https://pmc.ncbi.nlm.nih.gov/articles/PMC4524307/" TargetMode="External"/><Relationship Id="rId19" Type="http://schemas.openxmlformats.org/officeDocument/2006/relationships/hyperlink" Target="https://www.fao.org/4/y5686e/y5686e07.htm" TargetMode="External"/><Relationship Id="rId18" Type="http://schemas.openxmlformats.org/officeDocument/2006/relationships/hyperlink" Target="https://www.fao.org/4/y5686e/y5686e08.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