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Skeleto raumenų hipertrofijos mitybos strategijų optimizavimas: Išsami mechanistinė analizė ir klinikinės rekomendacijos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Įvadas: Hipertrofijos metabolinis pagrindas ir tyrimo apimtis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Skeleto raumenų hipertrofija – tai sudėtingas, daugiapakopis biologinis procesas, kurio esmė yra raumenų skaidulų skerspjūvio ploto padidėjimas per kontraktilinių baltymų (miofibrilių) akreciją. Šis procesas nėra vien tik mechaninio krūvio pasekmė; tai yra glaudžios sąveikos tarp mechanotransdukcijos (raumenų tempimo ir susitraukimo signalų pavertimo cheminiais signalais) ir mitybos substratų prieinamumo rezultatas. Fundamentali hipertrofijos sąlyga yra teigiamas grynasis baltymų balansas (NPB – </w:t>
      </w:r>
      <w:r w:rsidDel="00000000" w:rsidR="00000000" w:rsidRPr="00000000">
        <w:rPr>
          <w:rFonts w:ascii="Google Sans Text" w:cs="Google Sans Text" w:eastAsia="Google Sans Text" w:hAnsi="Google Sans Text"/>
          <w:i w:val="1"/>
          <w:iCs w:val="1"/>
          <w:color w:val="1f1f1f"/>
          <w:rtl w:val="0"/>
        </w:rPr>
        <w:t xml:space="preserve">Net Protein Balance</w:t>
      </w:r>
      <w:r w:rsidDel="00000000" w:rsidR="00000000" w:rsidRPr="00000000">
        <w:rPr>
          <w:rFonts w:ascii="Google Sans Text" w:cs="Google Sans Text" w:eastAsia="Google Sans Text" w:hAnsi="Google Sans Text"/>
          <w:color w:val="1f1f1f"/>
          <w:rtl w:val="0"/>
        </w:rPr>
        <w:t xml:space="preserve">), kuris pasiekiamas tik tada, kai raumenų baltymų sintezės (MPS – </w:t>
      </w:r>
      <w:r w:rsidDel="00000000" w:rsidR="00000000" w:rsidRPr="00000000">
        <w:rPr>
          <w:rFonts w:ascii="Google Sans Text" w:cs="Google Sans Text" w:eastAsia="Google Sans Text" w:hAnsi="Google Sans Text"/>
          <w:i w:val="1"/>
          <w:iCs w:val="1"/>
          <w:color w:val="1f1f1f"/>
          <w:rtl w:val="0"/>
        </w:rPr>
        <w:t xml:space="preserve">Muscle Protein Synthesis</w:t>
      </w:r>
      <w:r w:rsidDel="00000000" w:rsidR="00000000" w:rsidRPr="00000000">
        <w:rPr>
          <w:rFonts w:ascii="Google Sans Text" w:cs="Google Sans Text" w:eastAsia="Google Sans Text" w:hAnsi="Google Sans Text"/>
          <w:color w:val="1f1f1f"/>
          <w:rtl w:val="0"/>
        </w:rPr>
        <w:t xml:space="preserve">) greitis viršija raumenų baltymų irimo (MPB – </w:t>
      </w:r>
      <w:r w:rsidDel="00000000" w:rsidR="00000000" w:rsidRPr="00000000">
        <w:rPr>
          <w:rFonts w:ascii="Google Sans Text" w:cs="Google Sans Text" w:eastAsia="Google Sans Text" w:hAnsi="Google Sans Text"/>
          <w:i w:val="1"/>
          <w:iCs w:val="1"/>
          <w:color w:val="1f1f1f"/>
          <w:rtl w:val="0"/>
        </w:rPr>
        <w:t xml:space="preserve">Muscle Protein Breakdown</w:t>
      </w:r>
      <w:r w:rsidDel="00000000" w:rsidR="00000000" w:rsidRPr="00000000">
        <w:rPr>
          <w:rFonts w:ascii="Google Sans Text" w:cs="Google Sans Text" w:eastAsia="Google Sans Text" w:hAnsi="Google Sans Text"/>
          <w:color w:val="1f1f1f"/>
          <w:rtl w:val="0"/>
        </w:rPr>
        <w:t xml:space="preserve">) greitį per ilgesnį laiko tarpą.</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Šioje ataskaitoje, remiantis naujausiais klinikiniais tyrimais ir sisteminėmis apžvalgomis, atliekama išsami mitybos strategijų analizė. Ataskaitos tikslas – ne tik pateikti bazines rekomendacijas, bet ir išnagrinėti molekulinius mechanizmus, lemiančius šias rekomendacijas, bei atskleisti niuansus, susijusius su lytimi, amžiumi ir treniruotumo lygiu. Ypatingas dėmesys skiriamas makroelementų manipuliacijai esant kalorijų pertekliui, maistinių medžiagų laiko (nutrient timing) svarbai, ergogeninių papildų veiksmingumui bei specifinėms senstančio raumens (sarkopenijos prevencijos ir hipertrofijos) problemoms spręsti.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Mokslinė literatūra rodo, kad nors fizinis krūvis yra pagrindinis anabolinis dirgiklis, be adekvačios mitybos paramos anabolinis atsakas yra slopinamas. Pavyzdžiui, esant nevalgius (fasted state), net ir po intensyvios pasipriešinimo treniruotės, raumenų baltymų balansas išlieka neigiamas.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Tik amino rūgščių, ypač nepakeičiamųjų (EAA), infuzija į kraują gali perjungti metabolinį jungiklį į anabolizmą. Ši ataskaita detaliai nagrinėja, kaip optimizuoti šį procesą per mitybos intervencijas.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Energetinis balansas: Kalorijų pertekliaus būtinybė ir valdymas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Hipertrofijos energetinė kaina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Raumenų audinio sintezė yra energetiškai brangus procesas. Vienam kilogramui raumenų audinio sukurti reikalinga energija apima ne tik pačių baltymų ir vandens struktūrinę integraciją, bet ir energiją, sunaudojamą baltymų sintezės procesams, ribosomų biogenezei bei audinių remodeliavimui. Todėl, siekiant maksimalios hipertrofijos, būtina užtikrinti energijos perteklių. Tarptautinės sporto mitybos draugijos (ISSN) pozicija aiškiai nurodo, kad dietos, orientuotos į liesos raumenų masės (LBM) didinimą, turi būti grindžiamos nuolatiniu kalorijų pertekliumi, kad būtų palengvinti anaboliniai procesai ir patenkinti didėjantys pasipriešinimo treniruočių poreikiai.</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Pertekliaus dydžio nustatymas: Pradedantieji vs. Pažengę</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Mokslinėje literatūroje vyksta diskusija dėl optimalaus kalorijų pertekliaus dydžio. Per didelis perteklius, dažnai vadinamas „purvinu auginimu“ (</w:t>
      </w:r>
      <w:r w:rsidDel="00000000" w:rsidR="00000000" w:rsidRPr="00000000">
        <w:rPr>
          <w:rFonts w:ascii="Google Sans Text" w:cs="Google Sans Text" w:eastAsia="Google Sans Text" w:hAnsi="Google Sans Text"/>
          <w:i w:val="1"/>
          <w:iCs w:val="1"/>
          <w:color w:val="1f1f1f"/>
          <w:rtl w:val="0"/>
        </w:rPr>
        <w:t xml:space="preserve">dirty bulking</w:t>
      </w:r>
      <w:r w:rsidDel="00000000" w:rsidR="00000000" w:rsidRPr="00000000">
        <w:rPr>
          <w:rFonts w:ascii="Google Sans Text" w:cs="Google Sans Text" w:eastAsia="Google Sans Text" w:hAnsi="Google Sans Text"/>
          <w:color w:val="1f1f1f"/>
          <w:rtl w:val="0"/>
        </w:rPr>
        <w:t xml:space="preserve">), dažniau lemia neproporcingą riebalinio audinio kaupimąsi, o ne papildomą raumenų augimą. Tyrimai rodo, kad egzistuoja ribinis baltymų sintezės greitis, kurį viršijus, papildomos kalorijos yra nukreipiamos į riebalų depus.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Pradedantieji ir vidutinio lygio atletai:</w:t>
      </w:r>
      <w:r w:rsidDel="00000000" w:rsidR="00000000" w:rsidRPr="00000000">
        <w:rPr>
          <w:rFonts w:ascii="Google Sans Text" w:cs="Google Sans Text" w:eastAsia="Google Sans Text" w:hAnsi="Google Sans Text"/>
          <w:color w:val="1f1f1f"/>
          <w:rtl w:val="0"/>
        </w:rPr>
        <w:t xml:space="preserve"> Šiai grupei rekomenduojamas agresyvesnis kalorijų perteklius, siekiantis </w:t>
      </w:r>
      <w:r w:rsidDel="00000000" w:rsidR="00000000" w:rsidRPr="00000000">
        <w:rPr>
          <w:rFonts w:ascii="Google Sans Text" w:cs="Google Sans Text" w:eastAsia="Google Sans Text" w:hAnsi="Google Sans Text"/>
          <w:b w:val="1"/>
          <w:bCs w:val="1"/>
          <w:color w:val="1f1f1f"/>
          <w:rtl w:val="0"/>
        </w:rPr>
        <w:t xml:space="preserve">10–20% virš palaikymo kalorijų normos (TDEE)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Pradedančiųjų organizmas pasižymi didesniu jautrumu treniruočių stimuliacijai, todėl jie gali „panaudoti“ daugiau energijos naujų audinių kūrimui.</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Pažengę atletai:</w:t>
      </w:r>
      <w:r w:rsidDel="00000000" w:rsidR="00000000" w:rsidRPr="00000000">
        <w:rPr>
          <w:rFonts w:ascii="Google Sans Text" w:cs="Google Sans Text" w:eastAsia="Google Sans Text" w:hAnsi="Google Sans Text"/>
          <w:color w:val="1f1f1f"/>
          <w:rtl w:val="0"/>
        </w:rPr>
        <w:t xml:space="preserve"> Elito lygio kultūristams ar ilgą stažą turintiems atletams rekomenduojamas konservatyvesnis požiūris – </w:t>
      </w:r>
      <w:r w:rsidDel="00000000" w:rsidR="00000000" w:rsidRPr="00000000">
        <w:rPr>
          <w:rFonts w:ascii="Google Sans Text" w:cs="Google Sans Text" w:eastAsia="Google Sans Text" w:hAnsi="Google Sans Text"/>
          <w:b w:val="1"/>
          <w:bCs w:val="1"/>
          <w:color w:val="1f1f1f"/>
          <w:rtl w:val="0"/>
        </w:rPr>
        <w:t xml:space="preserve">5–10% perteklius</w:t>
      </w:r>
      <w:r w:rsidDel="00000000" w:rsidR="00000000" w:rsidRPr="00000000">
        <w:rPr>
          <w:rFonts w:ascii="Google Sans Text" w:cs="Google Sans Text" w:eastAsia="Google Sans Text" w:hAnsi="Google Sans Text"/>
          <w:color w:val="1f1f1f"/>
          <w:rtl w:val="0"/>
        </w:rPr>
        <w:t xml:space="preserve"> arba maždaug </w:t>
      </w:r>
      <w:r w:rsidDel="00000000" w:rsidR="00000000" w:rsidRPr="00000000">
        <w:rPr>
          <w:rFonts w:ascii="Google Sans Text" w:cs="Google Sans Text" w:eastAsia="Google Sans Text" w:hAnsi="Google Sans Text"/>
          <w:b w:val="1"/>
          <w:bCs w:val="1"/>
          <w:color w:val="1f1f1f"/>
          <w:rtl w:val="0"/>
        </w:rPr>
        <w:t xml:space="preserve">250–500 kcal per dieną</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Pažengusių atletų genetinės ribos yra arčiau, todėl raumenų augimo tempas yra lėtesnis. Tyrimas, lyginęs 5% ir 15% kalorijų perteklių, parodė, kad didesnis perteklius lėmė žymiai didesnį riebalų masės prieaugį be reikšmingo papildomo raumenų masės ar jėgos padidėjimo.</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Kūno kompozicijos valdymas („P-ratio“)</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Svarbus veiksnys, lemiantis kalorijų pertekliaus efektyvumą, yra asmens pradinė kūno kompozicija. Asmenys, turintys mažesnį riebalinį sluoksnį, linkę priaugti daugiau liesos masės ir mažiau riebalų esant pertekliui („nutrient partitioning“ arba P-ratio). Priešingai, asmenims, turintiems didesnį kūno riebalų procentą, rekomenduojamas mažesnis perteklius arba netgi „kūno rekompozicijos“ strategija (raumenų auginimas esant palaikymui ar nedideliam deficitui), nes didesnė riebalinė masė gali būti susijusi su sisteminiu uždegimu ir sumažėjusiu insulino jautrumu, kas gali neigiamai veikti anabolinį atsaką.</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Praktinis rekomendacijų taikymas reikalauja nuolatinio stebėjimo. Jei svorio prieaugis viršija </w:t>
      </w:r>
      <w:r w:rsidDel="00000000" w:rsidR="00000000" w:rsidRPr="00000000">
        <w:rPr>
          <w:rFonts w:ascii="Google Sans Text" w:cs="Google Sans Text" w:eastAsia="Google Sans Text" w:hAnsi="Google Sans Text"/>
          <w:b w:val="1"/>
          <w:bCs w:val="1"/>
          <w:color w:val="1f1f1f"/>
          <w:rtl w:val="0"/>
        </w:rPr>
        <w:t xml:space="preserve">0,25–0,5% kūno svorio per savaitę</w:t>
      </w:r>
      <w:r w:rsidDel="00000000" w:rsidR="00000000" w:rsidRPr="00000000">
        <w:rPr>
          <w:rFonts w:ascii="Google Sans Text" w:cs="Google Sans Text" w:eastAsia="Google Sans Text" w:hAnsi="Google Sans Text"/>
          <w:color w:val="1f1f1f"/>
          <w:rtl w:val="0"/>
        </w:rPr>
        <w:t xml:space="preserve">, tikėtina, kad didžioji dalis prieaugio yra riebalinis audinys. Tokiu atveju kalorijų perteklių rekomenduojama mažinti.</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Makroelementų strategijos: Santykis, kiekis ir kokybė</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Esant kalorijų pertekliui, makroelementų santykis tampa kritiniu veiksniu, lemiančiu, ar perteklinė energija bus panaudota glikogeno sintezei ir raumenų atstatymui, ar riebalų kaupimui.</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Baltymai: Statybinė medžiaga ir signalinė molekulė</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Baltymai atlieka dvejopą funkciją: jie teikia nepakeičiamas aminorūgštis (EAA) kaip substratą naujų baltymų gamybai ir veikia kaip signalinės molekulės (ypač leucinas), aktyvuojančios mTORC1 kelią – pagrindinį ląstelės augimo reguliatorių.</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Optimalus kiekis (Dozė)</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Bendras konsensusas, remiantis ISSN ir sisteminėmis apžvalgomis, yra tas, kad </w:t>
      </w:r>
      <w:r w:rsidDel="00000000" w:rsidR="00000000" w:rsidRPr="00000000">
        <w:rPr>
          <w:rFonts w:ascii="Google Sans Text" w:cs="Google Sans Text" w:eastAsia="Google Sans Text" w:hAnsi="Google Sans Text"/>
          <w:b w:val="1"/>
          <w:bCs w:val="1"/>
          <w:color w:val="1f1f1f"/>
          <w:rtl w:val="0"/>
        </w:rPr>
        <w:t xml:space="preserve">1,4–2,0 g/kg kūno masės per dieną</w:t>
      </w:r>
      <w:r w:rsidDel="00000000" w:rsidR="00000000" w:rsidRPr="00000000">
        <w:rPr>
          <w:rFonts w:ascii="Google Sans Text" w:cs="Google Sans Text" w:eastAsia="Google Sans Text" w:hAnsi="Google Sans Text"/>
          <w:color w:val="1f1f1f"/>
          <w:rtl w:val="0"/>
        </w:rPr>
        <w:t xml:space="preserve"> yra pakankamas kiekis daugumai besitreniruojančių asmenų, siekiant palaikyti teigiamą baltymų balansą.</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Tačiau, siekiant maksimalios hipertrofijos, ypač intensyvių treniruočių periodais, rekomenduojama norma dažnai pakeliama iki </w:t>
      </w:r>
      <w:r w:rsidDel="00000000" w:rsidR="00000000" w:rsidRPr="00000000">
        <w:rPr>
          <w:rFonts w:ascii="Google Sans Text" w:cs="Google Sans Text" w:eastAsia="Google Sans Text" w:hAnsi="Google Sans Text"/>
          <w:b w:val="1"/>
          <w:bCs w:val="1"/>
          <w:color w:val="1f1f1f"/>
          <w:rtl w:val="0"/>
        </w:rPr>
        <w:t xml:space="preserve">1,6–2,2 g/kg/d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Įdomu tai, kad labai dideli baltymų kiekiai (</w:t>
      </w:r>
      <w:r w:rsidDel="00000000" w:rsidR="00000000" w:rsidRPr="00000000">
        <w:rPr>
          <w:rFonts w:ascii="Google Sans Text" w:cs="Google Sans Text" w:eastAsia="Google Sans Text" w:hAnsi="Google Sans Text"/>
          <w:b w:val="1"/>
          <w:bCs w:val="1"/>
          <w:color w:val="1f1f1f"/>
          <w:rtl w:val="0"/>
        </w:rPr>
        <w:t xml:space="preserve">&gt;3,0 g/kg/d</w:t>
      </w:r>
      <w:r w:rsidDel="00000000" w:rsidR="00000000" w:rsidRPr="00000000">
        <w:rPr>
          <w:rFonts w:ascii="Google Sans Text" w:cs="Google Sans Text" w:eastAsia="Google Sans Text" w:hAnsi="Google Sans Text"/>
          <w:color w:val="1f1f1f"/>
          <w:rtl w:val="0"/>
        </w:rPr>
        <w:t xml:space="preserve">) neparodė žalingo poveikio inkstams ar kaulų sveikatai sveikiems asmenims ir netgi gali padėti mažinti riebalų kaupimąsi esant kalorijų pertekliui dėl didesnio baltymų termogeninio efekto (TEF) ir sotumo jausmo.</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Visgi, viršijus ~1,6–2,2 g/kg ribą, papildoma nauda tiesioginei raumenų hipertrofijai tampa ribinė, jei energijos suvartojimas yra pakankamas.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Baltymų kokybė ir Leucino slenkstis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Ne visi baltymai yra vienodai efektyvūs. Aukštos kokybės baltymai yra tie, kurie turi visas EAA ir yra lengvai virškinami. Kritinis veiksnys yra </w:t>
      </w:r>
      <w:r w:rsidDel="00000000" w:rsidR="00000000" w:rsidRPr="00000000">
        <w:rPr>
          <w:rFonts w:ascii="Google Sans Text" w:cs="Google Sans Text" w:eastAsia="Google Sans Text" w:hAnsi="Google Sans Text"/>
          <w:b w:val="1"/>
          <w:bCs w:val="1"/>
          <w:color w:val="1f1f1f"/>
          <w:rtl w:val="0"/>
        </w:rPr>
        <w:t xml:space="preserve">leucino kiekis</w:t>
      </w:r>
      <w:r w:rsidDel="00000000" w:rsidR="00000000" w:rsidRPr="00000000">
        <w:rPr>
          <w:rFonts w:ascii="Google Sans Text" w:cs="Google Sans Text" w:eastAsia="Google Sans Text" w:hAnsi="Google Sans Text"/>
          <w:color w:val="1f1f1f"/>
          <w:rtl w:val="0"/>
        </w:rPr>
        <w:t xml:space="preserve">. Tyrimai rodo, kad egzistuoja „leucino slenkstis“ (leucine threshold) – minimalus leucino kiekis, reikalingas maksimaliam MPS stimuliavimui. Jauniems suaugusiems tai yra maždaug </w:t>
      </w:r>
      <w:r w:rsidDel="00000000" w:rsidR="00000000" w:rsidRPr="00000000">
        <w:rPr>
          <w:rFonts w:ascii="Google Sans Text" w:cs="Google Sans Text" w:eastAsia="Google Sans Text" w:hAnsi="Google Sans Text"/>
          <w:b w:val="1"/>
          <w:bCs w:val="1"/>
          <w:color w:val="1f1f1f"/>
          <w:rtl w:val="0"/>
        </w:rPr>
        <w:t xml:space="preserve">2–3 g leucino</w:t>
      </w:r>
      <w:r w:rsidDel="00000000" w:rsidR="00000000" w:rsidRPr="00000000">
        <w:rPr>
          <w:rFonts w:ascii="Google Sans Text" w:cs="Google Sans Text" w:eastAsia="Google Sans Text" w:hAnsi="Google Sans Text"/>
          <w:color w:val="1f1f1f"/>
          <w:rtl w:val="0"/>
        </w:rPr>
        <w:t xml:space="preserve"> (arba apie 0,05 g/kg kūno svorio) vieno valgymo metu.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Tai atitinka maždaug:</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20–25 g išrūgų baltymų.</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30 g kiaušinių baltymų.</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100–120 g vištienos krūtinėlės.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Gyvūninės kilmės baltymai (pienas, mėsa, kiaušiniai) paprastai turi didesnę leucino koncentraciją nei augaliniai, todėl yra efektyvesni skatinant MPS gramas į gramą. Augalinės kilmės baltymai dažnai reikalauja didesnio bendro kiekio arba skirtingų šaltinių kombinavimo, kad būtų pasiektas tas pats anabolinis efektas.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Angliavandeniai: Glikogenas ir insulino signalizacija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Angliavandeniai yra pagrindinis kuras anaerobinio tipo treniruotėms (tokioms kaip kultūrizmas ar jėgos kėlimas). Nors patys angliavandeniai nėra statybinė medžiaga raumenims, jų vaidmuo yra "tausojantis baltymus" (protein-sparing) ir anabolinį signalą stiprinantis.</w:t>
      </w:r>
    </w:p>
    <w:p w:rsidR="00000000" w:rsidDel="00000000" w:rsidP="00000000" w:rsidRDefault="00000000" w:rsidRPr="00000000" w14:paraId="0000002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Kiekis ir funkcijos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Rekomendacijos hipertrofijai paprastai svyruoja tarp </w:t>
      </w:r>
      <w:r w:rsidDel="00000000" w:rsidR="00000000" w:rsidRPr="00000000">
        <w:rPr>
          <w:rFonts w:ascii="Google Sans Text" w:cs="Google Sans Text" w:eastAsia="Google Sans Text" w:hAnsi="Google Sans Text"/>
          <w:b w:val="1"/>
          <w:bCs w:val="1"/>
          <w:color w:val="1f1f1f"/>
          <w:rtl w:val="0"/>
        </w:rPr>
        <w:t xml:space="preserve">4–7 g/kg/d</w:t>
      </w:r>
      <w:r w:rsidDel="00000000" w:rsidR="00000000" w:rsidRPr="00000000">
        <w:rPr>
          <w:rFonts w:ascii="Google Sans Text" w:cs="Google Sans Text" w:eastAsia="Google Sans Text" w:hAnsi="Google Sans Text"/>
          <w:color w:val="1f1f1f"/>
          <w:rtl w:val="0"/>
        </w:rPr>
        <w:t xml:space="preserve">, priklausomai nuo treniruočių tūrio.</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Kultūristams ne sezono metu (off-season) dažnai rekomenduojama likusias kalorijas po baltymų ir riebalų poreikio patenkinimo skirti angliavandeniams, kas dažnai reiškia </w:t>
      </w:r>
      <w:r w:rsidDel="00000000" w:rsidR="00000000" w:rsidRPr="00000000">
        <w:rPr>
          <w:rFonts w:ascii="Google Sans Text" w:cs="Google Sans Text" w:eastAsia="Google Sans Text" w:hAnsi="Google Sans Text"/>
          <w:b w:val="1"/>
          <w:bCs w:val="1"/>
          <w:color w:val="1f1f1f"/>
          <w:rtl w:val="0"/>
        </w:rPr>
        <w:t xml:space="preserve">≥3–5 g/kg/d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Pagrindinės funkcijos: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Glikogeno atsargų atkūrimas:</w:t>
      </w:r>
      <w:r w:rsidDel="00000000" w:rsidR="00000000" w:rsidRPr="00000000">
        <w:rPr>
          <w:rFonts w:ascii="Google Sans Text" w:cs="Google Sans Text" w:eastAsia="Google Sans Text" w:hAnsi="Google Sans Text"/>
          <w:color w:val="1f1f1f"/>
          <w:rtl w:val="0"/>
        </w:rPr>
        <w:t xml:space="preserve"> Pilnos glikogeno atsargos yra signalas ląstelei apie energijos perteklių, kas yra būtina sąlyga mTOR aktyvacijai. Išsekęs glikogenas gali aktyvuoti AMPK – fermentą, kuris slopina mTOR ir stabdo baltymų sintezę.</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Insulino sekrecija:</w:t>
      </w:r>
      <w:r w:rsidDel="00000000" w:rsidR="00000000" w:rsidRPr="00000000">
        <w:rPr>
          <w:rFonts w:ascii="Google Sans Text" w:cs="Google Sans Text" w:eastAsia="Google Sans Text" w:hAnsi="Google Sans Text"/>
          <w:color w:val="1f1f1f"/>
          <w:rtl w:val="0"/>
        </w:rPr>
        <w:t xml:space="preserve"> Insulinas yra stiprus antikatabolinis hormonas. Nors jis tiesiogiai nedidina MPS (jei amino rūgščių kiekis yra pakankamas), jis drastiškai sumažina raumenų baltymų irimą (MPB).</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Todėl angliavandenių vartojimas kartu su baltymais po treniruotės sukuria palankiausią grynąjį baltymų balansą.</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Poreikio variacijos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Svarbu pažymėti, kad jėgos treniruotės išeikvoja mažiau glikogeno nei ištvermės sportas. Viena jėgos treniruotė gali sumažinti glikogeno atsargas 25–40%, todėl ekstremaliai dideli angliavandenių kiekiai (&gt;7 g/kg) dažnai nėra būtini ir gali prisidėti prie riebalų kaupimosi, nebent treniruotės yra labai didelės apimties (pvz., dvi treniruotės per dieną).</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Riebalai: Hormoninė aplinka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Riebalai dažnai nepagrįstai ignoruojami hipertrofijos kontekste, tačiau jie yra kritiškai svarbūs steroidinių hormonų (testosterono) sintezei.</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Santykis ir kiekis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Rekomenduojama norma yra </w:t>
      </w:r>
      <w:r w:rsidDel="00000000" w:rsidR="00000000" w:rsidRPr="00000000">
        <w:rPr>
          <w:rFonts w:ascii="Google Sans Text" w:cs="Google Sans Text" w:eastAsia="Google Sans Text" w:hAnsi="Google Sans Text"/>
          <w:b w:val="1"/>
          <w:bCs w:val="1"/>
          <w:color w:val="1f1f1f"/>
          <w:rtl w:val="0"/>
        </w:rPr>
        <w:t xml:space="preserve">0,5–1,5 g/kg/d</w:t>
      </w:r>
      <w:r w:rsidDel="00000000" w:rsidR="00000000" w:rsidRPr="00000000">
        <w:rPr>
          <w:rFonts w:ascii="Google Sans Text" w:cs="Google Sans Text" w:eastAsia="Google Sans Text" w:hAnsi="Google Sans Text"/>
          <w:color w:val="1f1f1f"/>
          <w:rtl w:val="0"/>
        </w:rPr>
        <w:t xml:space="preserve"> arba apie </w:t>
      </w:r>
      <w:r w:rsidDel="00000000" w:rsidR="00000000" w:rsidRPr="00000000">
        <w:rPr>
          <w:rFonts w:ascii="Google Sans Text" w:cs="Google Sans Text" w:eastAsia="Google Sans Text" w:hAnsi="Google Sans Text"/>
          <w:b w:val="1"/>
          <w:bCs w:val="1"/>
          <w:color w:val="1f1f1f"/>
          <w:rtl w:val="0"/>
        </w:rPr>
        <w:t xml:space="preserve">20–35%</w:t>
      </w:r>
      <w:r w:rsidDel="00000000" w:rsidR="00000000" w:rsidRPr="00000000">
        <w:rPr>
          <w:rFonts w:ascii="Google Sans Text" w:cs="Google Sans Text" w:eastAsia="Google Sans Text" w:hAnsi="Google Sans Text"/>
          <w:color w:val="1f1f1f"/>
          <w:rtl w:val="0"/>
        </w:rPr>
        <w:t xml:space="preserve"> bendro paros kaloringumo.</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3.3.2. Įtaka testosteronui</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Tyrimai rodo "U" formos priklausomybę arba slenkstinį efektą: labai mažo riebalų kiekio dietos (&lt;15-20% kalorijų) yra susijusios su reikšmingu testosterono lygio sumažėjimu vyrams, kas gali neigiamai paveikti raumenų augimo potencialą.</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Kita vertus, per didelis riebalų kiekis, ypač sočiųjų, gali padidinti uždegiminius procesus ir pabloginti insulino jautrumą, kas taip pat nėra palanku hipertrofijai. Optimali strategija yra vidutinis riebalų vartojimas, pirmenybę teikiant mononesočiųjų ir polinesočiųjų riebalų rūgščių šaltiniams (avokadai, riešutai, žuvis), tačiau neeliminuojant sočiųjų riebalų, kurie taip pat reikalingi hormonų gamybai.</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Maisto medžiagų laikas (Nutrient Timing): Chronobiologiniai aspektai</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bendras makroelementų kiekis yra hierarchijos viršūnėje, maistinių medžiagų laikas tampa svarbus optimizuojant adaptacijas, ypač pažengusiems atletams. Senoji "anabolinio lango" paradigma (būtinybė valgyti per 30 min. po krūvio) buvo peržiūrėta ir išplėsta.</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"Anabolinis langas" vs. Anabolinis jautrumas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Tyrimai rodo, kad raumenų jautrumas baltymams (amino rūgštims) išlieka padidėjęs iki </w:t>
      </w:r>
      <w:r w:rsidDel="00000000" w:rsidR="00000000" w:rsidRPr="00000000">
        <w:rPr>
          <w:rFonts w:ascii="Google Sans Text" w:cs="Google Sans Text" w:eastAsia="Google Sans Text" w:hAnsi="Google Sans Text"/>
          <w:b w:val="1"/>
          <w:bCs w:val="1"/>
          <w:color w:val="1f1f1f"/>
          <w:rtl w:val="0"/>
        </w:rPr>
        <w:t xml:space="preserve">24 valandų</w:t>
      </w:r>
      <w:r w:rsidDel="00000000" w:rsidR="00000000" w:rsidRPr="00000000">
        <w:rPr>
          <w:rFonts w:ascii="Google Sans Text" w:cs="Google Sans Text" w:eastAsia="Google Sans Text" w:hAnsi="Google Sans Text"/>
          <w:color w:val="1f1f1f"/>
          <w:rtl w:val="0"/>
        </w:rPr>
        <w:t xml:space="preserve"> po pasipriešinimo treniruotės.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Tai reiškia, kad organizmas efektyviau pasisavina baltymus visą parą po krūvio. Tačiau tai nereiškia, kad laikas nesvarbus. Iškart po treniruotės raumenų baltymų balansas yra neigiamas (vyksta irimas), kol nėra suvartojama baltymų. Todėl baltymų vartojimas po treniruotės padeda greičiau "uždaryti" katabolinį langą ir pereiti į anabolizmą.</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Baltymų paskirstymas: Pulsacinis maitinimas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Viena iš efektyviausių strategijų yra ne tik pasiekti dienos baltymų normą, bet ir ją tinkamai paskirstyti. Egzistuoja "raumenų pilnumo" (</w:t>
      </w:r>
      <w:r w:rsidDel="00000000" w:rsidR="00000000" w:rsidRPr="00000000">
        <w:rPr>
          <w:rFonts w:ascii="Google Sans Text" w:cs="Google Sans Text" w:eastAsia="Google Sans Text" w:hAnsi="Google Sans Text"/>
          <w:i w:val="1"/>
          <w:iCs w:val="1"/>
          <w:color w:val="1f1f1f"/>
          <w:rtl w:val="0"/>
        </w:rPr>
        <w:t xml:space="preserve">muscle full</w:t>
      </w:r>
      <w:r w:rsidDel="00000000" w:rsidR="00000000" w:rsidRPr="00000000">
        <w:rPr>
          <w:rFonts w:ascii="Google Sans Text" w:cs="Google Sans Text" w:eastAsia="Google Sans Text" w:hAnsi="Google Sans Text"/>
          <w:color w:val="1f1f1f"/>
          <w:rtl w:val="0"/>
        </w:rPr>
        <w:t xml:space="preserve">) efektas: po tam tikro kiekio amino rūgščių (pvz., pasiekus leucino slenkstį), MPS stimulias "išsijungia", net jei amino rūgščių koncentracija kraujyje išlieka aukšta. MPS lygis grįžta į bazinį lygį maždaug po 3 valandų.</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Siekiant maksimalaus augimo, rekomenduojama vartoti baltymus kas </w:t>
      </w:r>
      <w:r w:rsidDel="00000000" w:rsidR="00000000" w:rsidRPr="00000000">
        <w:rPr>
          <w:rFonts w:ascii="Google Sans Text" w:cs="Google Sans Text" w:eastAsia="Google Sans Text" w:hAnsi="Google Sans Text"/>
          <w:b w:val="1"/>
          <w:bCs w:val="1"/>
          <w:color w:val="1f1f1f"/>
          <w:rtl w:val="0"/>
        </w:rPr>
        <w:t xml:space="preserve">3–4 valandas</w:t>
      </w:r>
      <w:r w:rsidDel="00000000" w:rsidR="00000000" w:rsidRPr="00000000">
        <w:rPr>
          <w:rFonts w:ascii="Google Sans Text" w:cs="Google Sans Text" w:eastAsia="Google Sans Text" w:hAnsi="Google Sans Text"/>
          <w:color w:val="1f1f1f"/>
          <w:rtl w:val="0"/>
        </w:rPr>
        <w:t xml:space="preserve">. Kiekviena porcija turėtų būti </w:t>
      </w:r>
      <w:r w:rsidDel="00000000" w:rsidR="00000000" w:rsidRPr="00000000">
        <w:rPr>
          <w:rFonts w:ascii="Google Sans Text" w:cs="Google Sans Text" w:eastAsia="Google Sans Text" w:hAnsi="Google Sans Text"/>
          <w:b w:val="1"/>
          <w:bCs w:val="1"/>
          <w:color w:val="1f1f1f"/>
          <w:rtl w:val="0"/>
        </w:rPr>
        <w:t xml:space="preserve">20–40 g</w:t>
      </w:r>
      <w:r w:rsidDel="00000000" w:rsidR="00000000" w:rsidRPr="00000000">
        <w:rPr>
          <w:rFonts w:ascii="Google Sans Text" w:cs="Google Sans Text" w:eastAsia="Google Sans Text" w:hAnsi="Google Sans Text"/>
          <w:color w:val="1f1f1f"/>
          <w:rtl w:val="0"/>
        </w:rPr>
        <w:t xml:space="preserve"> (arba 0,25–0,40 g/kg), turinti pakankamai leucino.</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Tai leidžia pakartotinai "užkurti" baltymų sintezę visos dienos metu. Tai yra efektyviau nei suvartoti visą baltymų normą per 1–2 didelius valgymus.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Prieš ir Po Treniruotės (Peri-workout)</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Prieš treniruotę (Pre-workout):</w:t>
      </w:r>
      <w:r w:rsidDel="00000000" w:rsidR="00000000" w:rsidRPr="00000000">
        <w:rPr>
          <w:rFonts w:ascii="Google Sans Text" w:cs="Google Sans Text" w:eastAsia="Google Sans Text" w:hAnsi="Google Sans Text"/>
          <w:color w:val="1f1f1f"/>
          <w:rtl w:val="0"/>
        </w:rPr>
        <w:t xml:space="preserve"> Valgymas likus 1–2 valandoms iki treniruotės yra kritinis, jei treniruotė ilga. Angliavandenių ir baltymų derinys užtikrina energiją ir aminorūgščių prieinamumą kraujyje treniruotės metu, kas gali sumažinti raumenų irimą krūvio metu.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 treniruotės (Post-workout):</w:t>
      </w:r>
      <w:r w:rsidDel="00000000" w:rsidR="00000000" w:rsidRPr="00000000">
        <w:rPr>
          <w:rFonts w:ascii="Google Sans Text" w:cs="Google Sans Text" w:eastAsia="Google Sans Text" w:hAnsi="Google Sans Text"/>
          <w:color w:val="1f1f1f"/>
          <w:rtl w:val="0"/>
        </w:rPr>
        <w:t xml:space="preserve"> 20–40 g aukštos kokybės baltymų (pvz., išrūgų) vartojimas po krūvio yra optimalus MPS stimuliavimui. Angliavandenių pridėjimas šiuo metu padeda greičiau atstatyti glikogeną ir pakelti insuliną, tačiau patys angliavandeniai be baltymų MPS nestimuliuoja.</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Mityba prieš miegą (Pre-sleep)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Miego metu organizmas patiria ilgiausią nevalgymo periodą, kurio metu baltymų irimas gali viršyti sintezę.</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Vartojant </w:t>
      </w:r>
      <w:r w:rsidDel="00000000" w:rsidR="00000000" w:rsidRPr="00000000">
        <w:rPr>
          <w:rFonts w:ascii="Google Sans Text" w:cs="Google Sans Text" w:eastAsia="Google Sans Text" w:hAnsi="Google Sans Text"/>
          <w:b w:val="1"/>
          <w:bCs w:val="1"/>
          <w:color w:val="1f1f1f"/>
          <w:rtl w:val="0"/>
        </w:rPr>
        <w:t xml:space="preserve">30–40 g kazeino</w:t>
      </w:r>
      <w:r w:rsidDel="00000000" w:rsidR="00000000" w:rsidRPr="00000000">
        <w:rPr>
          <w:rFonts w:ascii="Google Sans Text" w:cs="Google Sans Text" w:eastAsia="Google Sans Text" w:hAnsi="Google Sans Text"/>
          <w:color w:val="1f1f1f"/>
          <w:rtl w:val="0"/>
        </w:rPr>
        <w:t xml:space="preserve"> (lėtai pasisavinamo baltymo) likus 30 min. iki miego, galima palaikyti aminorūgščių tiekimą į kraują 5–7 valandas. Tyrimai rodo, kad tai reikšmingai padidina naktinę MPS normą ir pagerina bendrą raumenų atsistatymą, neturint neigiamos įtakos riebalų oksidacijai.</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Tai yra viena iš paprasčiausių ir efektyviausių strategijų hipertrofijai.</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Ergogeninių papildų klinikinė analizė</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Papildai yra mitybos piramidės viršūnėje – jie veikia tik tada, kai mityba ir treniruotės yra sutvarkytos. Tačiau tam tikri papildai turi stiprų klinikinį pagrindimą hipertrofijos kontekste.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Papildas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Rekomenduojama Dozė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Pagrindinis Mechanizmas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Įrodymų Lygis (ISSN)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Kreatino Monohidratas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 g/d (kasdien)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PCr, ↑ ATP regeneracija, ↑ Ląstelių hidratacija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 (Labai stiprus)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Beta-Alaninas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 g/d (min. 4 sav.)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Karnozinas, ↑ H+ buferiavimas, ↑ Tūris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I/II (Stiprus specifinėms sąlygoms)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Išrūgų Baltymai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20–40 g po krūvio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Greitas EAA/Leucino tiekimas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 (Stiprus kaip baltymų šaltinis)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Citrulino Malatas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6–8 g prieš krūvį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NO, ↑ Kraujotaka, ↓ Nuovargis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II (Vidutinis/Augantis)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Kofeinas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3–6 mg/kg prieš krūvį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 Jėga, ↑ Galia, ↓ Suvokiamas pastangų lygis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 (Stiprus)</w:t>
            </w:r>
          </w:p>
        </w:tc>
      </w:tr>
    </w:tbl>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Kreatino monohidratas: Anabolinis karalius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Kreatinas yra labiausiai ištirtas ergogeninis papildas. Jo pagrindinė funkcija – didinti fosfokreatino (PCr) atsargas raumenyse, kas leidžia greičiau resintetinti ATP intensyvių, trumpų pastangų metu.</w:t>
      </w:r>
    </w:p>
    <w:p w:rsidR="00000000" w:rsidDel="00000000" w:rsidP="00000000" w:rsidRDefault="00000000" w:rsidRPr="00000000" w14:paraId="00000056">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Poveikis hipertrofijai:</w:t>
      </w:r>
      <w:r w:rsidDel="00000000" w:rsidR="00000000" w:rsidRPr="00000000">
        <w:rPr>
          <w:rFonts w:ascii="Google Sans Text" w:cs="Google Sans Text" w:eastAsia="Google Sans Text" w:hAnsi="Google Sans Text"/>
          <w:color w:val="1f1f1f"/>
          <w:rtl w:val="0"/>
        </w:rPr>
        <w:t xml:space="preserve"> Tyrimai rodo, kad kreatinas padidina liesą kūno masę per du mechanizmus: 1) Padidėjęs darbingumas (daugiau pakartojimų su didesniu svoriu = didesnis mechaninis stimulas); 2) Osmosinis efektas (padidina vandens kiekį ląstelėje, kas gali veikti kaip anabolinis signalas ląstelės tempimo receptoriams).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Laikas:</w:t>
      </w:r>
      <w:r w:rsidDel="00000000" w:rsidR="00000000" w:rsidRPr="00000000">
        <w:rPr>
          <w:rFonts w:ascii="Google Sans Text" w:cs="Google Sans Text" w:eastAsia="Google Sans Text" w:hAnsi="Google Sans Text"/>
          <w:color w:val="1f1f1f"/>
          <w:rtl w:val="0"/>
        </w:rPr>
        <w:t xml:space="preserve"> Meta-analizės rodo, kad kreatino vartojimas </w:t>
      </w:r>
      <w:r w:rsidDel="00000000" w:rsidR="00000000" w:rsidRPr="00000000">
        <w:rPr>
          <w:rFonts w:ascii="Google Sans Text" w:cs="Google Sans Text" w:eastAsia="Google Sans Text" w:hAnsi="Google Sans Text"/>
          <w:b w:val="1"/>
          <w:bCs w:val="1"/>
          <w:color w:val="1f1f1f"/>
          <w:rtl w:val="0"/>
        </w:rPr>
        <w:t xml:space="preserve">po treniruotės</w:t>
      </w:r>
      <w:r w:rsidDel="00000000" w:rsidR="00000000" w:rsidRPr="00000000">
        <w:rPr>
          <w:rFonts w:ascii="Google Sans Text" w:cs="Google Sans Text" w:eastAsia="Google Sans Text" w:hAnsi="Google Sans Text"/>
          <w:color w:val="1f1f1f"/>
          <w:rtl w:val="0"/>
        </w:rPr>
        <w:t xml:space="preserve"> gali būti šiek tiek efektyvesnis nei prieš treniruotę liesos masės auginimui, greičiausiai dėl padidėjusio raumenų jautrumo ir kraujotakos po krūvio.</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Tačiau svarbiausia yra nuolatinis vartojimas (prisisotinimas).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Beta-Alaninas: Ištvermė tūriui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Beta-alaninas yra karnozino prekursorius. Karnozinas veikia kaip intraląstelinis pH buferis.</w:t>
      </w:r>
    </w:p>
    <w:p w:rsidR="00000000" w:rsidDel="00000000" w:rsidP="00000000" w:rsidRDefault="00000000" w:rsidRPr="00000000" w14:paraId="0000005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Klinikiniai duomenys:</w:t>
      </w:r>
      <w:r w:rsidDel="00000000" w:rsidR="00000000" w:rsidRPr="00000000">
        <w:rPr>
          <w:rFonts w:ascii="Google Sans Text" w:cs="Google Sans Text" w:eastAsia="Google Sans Text" w:hAnsi="Google Sans Text"/>
          <w:color w:val="1f1f1f"/>
          <w:rtl w:val="0"/>
        </w:rPr>
        <w:t xml:space="preserve"> Beta-alaninas efektyviausias pratimams, trunkantiems </w:t>
      </w:r>
      <w:r w:rsidDel="00000000" w:rsidR="00000000" w:rsidRPr="00000000">
        <w:rPr>
          <w:rFonts w:ascii="Google Sans Text" w:cs="Google Sans Text" w:eastAsia="Google Sans Text" w:hAnsi="Google Sans Text"/>
          <w:b w:val="1"/>
          <w:bCs w:val="1"/>
          <w:color w:val="1f1f1f"/>
          <w:rtl w:val="0"/>
        </w:rPr>
        <w:t xml:space="preserve">60–240 sekundžių</w:t>
      </w:r>
      <w:r w:rsidDel="00000000" w:rsidR="00000000" w:rsidRPr="00000000">
        <w:rPr>
          <w:rFonts w:ascii="Google Sans Text" w:cs="Google Sans Text" w:eastAsia="Google Sans Text" w:hAnsi="Google Sans Text"/>
          <w:color w:val="1f1f1f"/>
          <w:rtl w:val="0"/>
        </w:rPr>
        <w:t xml:space="preserve"> (pvz., didelės apimties kultūrizmo serijos, super-serijos, drop-set'ai). Jis leidžia atlikti keliais pakartojimais daugiau iki raumenų "užsirūgštinimo". Nors jis tiesiogiai nestimuliuoja MPS, didesnis treniruotės tūris koreliuoja su didesne hipertrofija ilgalaikėje perspektyvoje.</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Pastaba:</w:t>
      </w:r>
      <w:r w:rsidDel="00000000" w:rsidR="00000000" w:rsidRPr="00000000">
        <w:rPr>
          <w:rFonts w:ascii="Google Sans Text" w:cs="Google Sans Text" w:eastAsia="Google Sans Text" w:hAnsi="Google Sans Text"/>
          <w:color w:val="1f1f1f"/>
          <w:rtl w:val="0"/>
        </w:rPr>
        <w:t xml:space="preserve"> Norint pajusti efektą, reikia vartoti 3–5 g kasdien bent 4 savaites, kad karnozino lygis raumenyse pakiltų.</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Citrulino Malatas ir Kraujotaka</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Citrulinas virsta argininu inkstuose, kuris vėliau skatina azoto oksido (NO) gamybą. Tai plečia kraujagysles.</w:t>
      </w:r>
    </w:p>
    <w:p w:rsidR="00000000" w:rsidDel="00000000" w:rsidP="00000000" w:rsidRDefault="00000000" w:rsidRPr="00000000" w14:paraId="0000005E">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Tyrimai:</w:t>
      </w:r>
      <w:r w:rsidDel="00000000" w:rsidR="00000000" w:rsidRPr="00000000">
        <w:rPr>
          <w:rFonts w:ascii="Google Sans Text" w:cs="Google Sans Text" w:eastAsia="Google Sans Text" w:hAnsi="Google Sans Text"/>
          <w:color w:val="1f1f1f"/>
          <w:rtl w:val="0"/>
        </w:rPr>
        <w:t xml:space="preserve"> 8 g dozė prieš treniruotę parodė gebėjimą padidinti atliekamų pakartojimų skaičių (pvz., spaudžiant krūtine) ir sumažinti raumenų skausmą (DOMS) 24–48 val. po krūvio. Tai leidžia treniruotis intensyviau ir dažniau.</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Tačiau jo tiesioginis poveikis hipertrofijai vis dar laikomas "fasilituojančiu" (pagalbiniu), o ne tiesioginiu.</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HMB (Beta-hidroksi-beta-metilbutiratas)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HMB, leucino metabolitas, dažnai reklamuojamas kaip galingas antikatabolikas.</w:t>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Realybė:</w:t>
      </w:r>
      <w:r w:rsidDel="00000000" w:rsidR="00000000" w:rsidRPr="00000000">
        <w:rPr>
          <w:rFonts w:ascii="Google Sans Text" w:cs="Google Sans Text" w:eastAsia="Google Sans Text" w:hAnsi="Google Sans Text"/>
          <w:color w:val="1f1f1f"/>
          <w:rtl w:val="0"/>
        </w:rPr>
        <w:t xml:space="preserve"> ISSN ir sisteminės apžvalgos rodo, kad HMB efektyvumas yra labai priklausomas nuo konteksto. Jis veiksmingas pradedantiesiems arba esant ekstremalioms sąlygoms (traumos, lovos režimas, labai didelis kalorijų deficitas). Tačiau gerai treniruotiems atletams, esantiems kalorijų pertekliuje ir suvartojantiems pakankamai baltymų, HMB papildoma nauda yra abejotina arba nulinė.</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Skirtumai tarp lyčių: Fiziologiniai niuansai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Nors molekuliniai hipertrofijos mechanizmai (mTOR aktyvacija) yra identiški abiem lytims, hormoniniai ir metaboliniai skirtumai reikalauja tam tikrų strateginių korekcijų.</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Hipertrofijos potencialas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Priešingai populiariam įsitikinimui, moterys turi panašų santykinį raumenų hipertrofijos potencialą kaip ir vyrai. Tyrimai rodo, kad pradėjusios treniruotis moterys procentiškai gali padidinti raumenų skerspjūvio plotą tiek pat, kiek ir vyrai, nepaisant 10–20 kartų mažesnio testosterono kiekio.</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Tai rodo, kad moterims augimo faktoriai (IGF-1, augimo hormonas) ir lokalūs raumenų signalai vaidina santykinai svarbesnį vaidmenį.</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Metabolizmas ir Substratų Oksidacija</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Moterys fiziologiškai yra "taupesnės" glikogeno atžvilgiu ir efektyviau degina riebalus fizinio krūvio metu lyginant su vyrais.</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Implikacija mitybai:</w:t>
      </w:r>
      <w:r w:rsidDel="00000000" w:rsidR="00000000" w:rsidRPr="00000000">
        <w:rPr>
          <w:rFonts w:ascii="Google Sans Text" w:cs="Google Sans Text" w:eastAsia="Google Sans Text" w:hAnsi="Google Sans Text"/>
          <w:color w:val="1f1f1f"/>
          <w:rtl w:val="0"/>
        </w:rPr>
        <w:t xml:space="preserve"> Dėl didesnio riebalų oksidacijos efektyvumo ir mažesnio glikogeno eikvojimo (dėl mažesnės absoliučios raumenų masės ir didesnio I tipo skaidulų kiekio), moterims gali nereikėti tiek daug angliavandenių kaip vyrams (pvz., viršutinė 7 g/kg riba gali būti perteklinė).</w:t>
      </w:r>
    </w:p>
    <w:p w:rsidR="00000000" w:rsidDel="00000000" w:rsidP="00000000" w:rsidRDefault="00000000" w:rsidRPr="00000000" w14:paraId="0000006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Riebalų svarba:</w:t>
      </w:r>
      <w:r w:rsidDel="00000000" w:rsidR="00000000" w:rsidRPr="00000000">
        <w:rPr>
          <w:rFonts w:ascii="Google Sans Text" w:cs="Google Sans Text" w:eastAsia="Google Sans Text" w:hAnsi="Google Sans Text"/>
          <w:color w:val="1f1f1f"/>
          <w:rtl w:val="0"/>
        </w:rPr>
        <w:t xml:space="preserve"> Moterų organizmas yra jautresnis riebalų trūkumui. Dietos su labai mažu riebalų kiekiu gali greičiau sukelti hormoninius sutrikimus (amenorėją) ir kaulų tankio mažėjimą. Todėl rekomenduojama, kad riebalai sudarytų </w:t>
      </w:r>
      <w:r w:rsidDel="00000000" w:rsidR="00000000" w:rsidRPr="00000000">
        <w:rPr>
          <w:rFonts w:ascii="Google Sans Text" w:cs="Google Sans Text" w:eastAsia="Google Sans Text" w:hAnsi="Google Sans Text"/>
          <w:b w:val="1"/>
          <w:bCs w:val="1"/>
          <w:color w:val="1f1f1f"/>
          <w:rtl w:val="0"/>
        </w:rPr>
        <w:t xml:space="preserve">ne mažiau kaip 1,0 g/kg</w:t>
      </w:r>
      <w:r w:rsidDel="00000000" w:rsidR="00000000" w:rsidRPr="00000000">
        <w:rPr>
          <w:rFonts w:ascii="Google Sans Text" w:cs="Google Sans Text" w:eastAsia="Google Sans Text" w:hAnsi="Google Sans Text"/>
          <w:color w:val="1f1f1f"/>
          <w:rtl w:val="0"/>
        </w:rPr>
        <w:t xml:space="preserve"> arba &gt;20-25% bendro kaloringumo.</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Menstruacinis ciklas ir Treniruočių periodizacija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Hormonų svyravimai ciklo metu veikia metabolizmą:</w:t>
      </w:r>
    </w:p>
    <w:p w:rsidR="00000000" w:rsidDel="00000000" w:rsidP="00000000" w:rsidRDefault="00000000" w:rsidRPr="00000000" w14:paraId="0000006C">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Folikulinė fazė (pirma pusė):</w:t>
      </w:r>
      <w:r w:rsidDel="00000000" w:rsidR="00000000" w:rsidRPr="00000000">
        <w:rPr>
          <w:rFonts w:ascii="Google Sans Text" w:cs="Google Sans Text" w:eastAsia="Google Sans Text" w:hAnsi="Google Sans Text"/>
          <w:color w:val="1f1f1f"/>
          <w:rtl w:val="0"/>
        </w:rPr>
        <w:t xml:space="preserve"> Estrogeno dominavimas. Didesnis jautrumas insulinui, mažesnis baltymų katabolizmas. Tai idealus laikas didelio intensyvumo ir didelės apimties treniruotėms bei angliavandenių "užkrovimui" (re-feed).</w:t>
      </w:r>
    </w:p>
    <w:p w:rsidR="00000000" w:rsidDel="00000000" w:rsidP="00000000" w:rsidRDefault="00000000" w:rsidRPr="00000000" w14:paraId="0000006D">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Liuteininė fazė (antra pusė):</w:t>
      </w:r>
      <w:r w:rsidDel="00000000" w:rsidR="00000000" w:rsidRPr="00000000">
        <w:rPr>
          <w:rFonts w:ascii="Google Sans Text" w:cs="Google Sans Text" w:eastAsia="Google Sans Text" w:hAnsi="Google Sans Text"/>
          <w:color w:val="1f1f1f"/>
          <w:rtl w:val="0"/>
        </w:rPr>
        <w:t xml:space="preserve"> Progesterono dominavimas. Kūno temperatūra pakyla, padidėja metabolinis greitis (iki 2.5-11%), tačiau sumažėja jautrumas insulinui ir padidėja baltymų katabolizmas. Šiuo laikotarpiu moterims gali būti sunkiau atsistatyti, todėl gali būti naudinga šiek tiek padidinti baltymų kiekį ir bendrą kalorijų kiekį, bei teikti pirmenybę riebalams kaip energijos šaltiniui.</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Amžiaus įtaka: Anabolinis atsparumas ir strategijos (40–60+ metų)</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Senėjimas yra susijęs su laipsnišku raumenų masės praradimu (sarkopenija) ir specifiniu reiškiniu – </w:t>
      </w:r>
      <w:r w:rsidDel="00000000" w:rsidR="00000000" w:rsidRPr="00000000">
        <w:rPr>
          <w:rFonts w:ascii="Google Sans Text" w:cs="Google Sans Text" w:eastAsia="Google Sans Text" w:hAnsi="Google Sans Text"/>
          <w:b w:val="1"/>
          <w:bCs w:val="1"/>
          <w:color w:val="1f1f1f"/>
          <w:rtl w:val="0"/>
        </w:rPr>
        <w:t xml:space="preserve">anaboliniu atsparumu</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anabolic resistance</w:t>
      </w:r>
      <w:r w:rsidDel="00000000" w:rsidR="00000000" w:rsidRPr="00000000">
        <w:rPr>
          <w:rFonts w:ascii="Google Sans Text" w:cs="Google Sans Text" w:eastAsia="Google Sans Text" w:hAnsi="Google Sans Text"/>
          <w:color w:val="1f1f1f"/>
          <w:rtl w:val="0"/>
        </w:rPr>
        <w:t xml:space="preserve">). Tai reiškia, kad vyresnio amžiaus raumuo silpniau reaguoja į tą patį baltymų kiekį ar mechaninį stimulą nei jauno žmogaus raumuo.</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Anabolinio atsparumo mechanizmai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Su amžiumi mažėja mTORC1 signalinio kelio jautrumas. Taip pat, dėl pablogėjusios kraujotakos (kapiliarizacijos) ir padidėjusio vidaus organų (splanchninio) aminorūgščių sulaikymo, mažiau suvalgytų baltymų pasiekia raumenis.</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Lėtinis nedidelio laipsnio uždegimas (inflammaging) taip pat slopina sintezę.</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Mitybos korekcijos 40+, 50+ ir 60+ grupėms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Norint įveikti anabolinį atsparumą, mitybos taisyklės turi griežtėti.</w:t>
      </w:r>
    </w:p>
    <w:p w:rsidR="00000000" w:rsidDel="00000000" w:rsidP="00000000" w:rsidRDefault="00000000" w:rsidRPr="00000000" w14:paraId="0000007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6.2.1. Baltymų dozės didinimas (Leucino imperatyvas)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Jauniems žmonėms (20-30 m.) maksimaliam MPS atsakui užtenka ~0.24 g/kg baltymų (apie 20 g). Tačiau vyresniems (&gt;60 m.) ši dozė yra nepakankama.</w:t>
      </w:r>
    </w:p>
    <w:p w:rsidR="00000000" w:rsidDel="00000000" w:rsidP="00000000" w:rsidRDefault="00000000" w:rsidRPr="00000000" w14:paraId="0000007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Rekomendacija:</w:t>
      </w:r>
      <w:r w:rsidDel="00000000" w:rsidR="00000000" w:rsidRPr="00000000">
        <w:rPr>
          <w:rFonts w:ascii="Google Sans Text" w:cs="Google Sans Text" w:eastAsia="Google Sans Text" w:hAnsi="Google Sans Text"/>
          <w:color w:val="1f1f1f"/>
          <w:rtl w:val="0"/>
        </w:rPr>
        <w:t xml:space="preserve"> Vyresniems asmenims vieno valgymo metu reikia suvartoti </w:t>
      </w:r>
      <w:r w:rsidDel="00000000" w:rsidR="00000000" w:rsidRPr="00000000">
        <w:rPr>
          <w:rFonts w:ascii="Google Sans Text" w:cs="Google Sans Text" w:eastAsia="Google Sans Text" w:hAnsi="Google Sans Text"/>
          <w:b w:val="1"/>
          <w:bCs w:val="1"/>
          <w:color w:val="1f1f1f"/>
          <w:rtl w:val="0"/>
        </w:rPr>
        <w:t xml:space="preserve">0.40 g/kg</w:t>
      </w:r>
      <w:r w:rsidDel="00000000" w:rsidR="00000000" w:rsidRPr="00000000">
        <w:rPr>
          <w:rFonts w:ascii="Google Sans Text" w:cs="Google Sans Text" w:eastAsia="Google Sans Text" w:hAnsi="Google Sans Text"/>
          <w:color w:val="1f1f1f"/>
          <w:rtl w:val="0"/>
        </w:rPr>
        <w:t xml:space="preserve"> baltymų (apie </w:t>
      </w:r>
      <w:r w:rsidDel="00000000" w:rsidR="00000000" w:rsidRPr="00000000">
        <w:rPr>
          <w:rFonts w:ascii="Google Sans Text" w:cs="Google Sans Text" w:eastAsia="Google Sans Text" w:hAnsi="Google Sans Text"/>
          <w:b w:val="1"/>
          <w:bCs w:val="1"/>
          <w:color w:val="1f1f1f"/>
          <w:rtl w:val="0"/>
        </w:rPr>
        <w:t xml:space="preserve">35–40 g</w:t>
      </w:r>
      <w:r w:rsidDel="00000000" w:rsidR="00000000" w:rsidRPr="00000000">
        <w:rPr>
          <w:rFonts w:ascii="Google Sans Text" w:cs="Google Sans Text" w:eastAsia="Google Sans Text" w:hAnsi="Google Sans Text"/>
          <w:color w:val="1f1f1f"/>
          <w:rtl w:val="0"/>
        </w:rPr>
        <w:t xml:space="preserve">) tam, kad būtų pasiektas tas pats sintezės lygis kaip jauniems nuo 20 g.</w:t>
      </w:r>
      <w:r w:rsidDel="00000000" w:rsidR="00000000" w:rsidRPr="00000000">
        <w:rPr>
          <w:rFonts w:ascii="Google Sans Text" w:cs="Google Sans Text" w:eastAsia="Google Sans Text" w:hAnsi="Google Sans Text"/>
          <w:color w:val="444746"/>
          <w:sz w:val="24"/>
          <w:szCs w:val="24"/>
          <w:vertAlign w:val="superscript"/>
          <w:rtl w:val="0"/>
        </w:rPr>
        <w:t xml:space="preserve">31</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Leucinas:</w:t>
      </w:r>
      <w:r w:rsidDel="00000000" w:rsidR="00000000" w:rsidRPr="00000000">
        <w:rPr>
          <w:rFonts w:ascii="Google Sans Text" w:cs="Google Sans Text" w:eastAsia="Google Sans Text" w:hAnsi="Google Sans Text"/>
          <w:color w:val="1f1f1f"/>
          <w:rtl w:val="0"/>
        </w:rPr>
        <w:t xml:space="preserve"> Kritinis slenkstis pakyla iki </w:t>
      </w:r>
      <w:r w:rsidDel="00000000" w:rsidR="00000000" w:rsidRPr="00000000">
        <w:rPr>
          <w:rFonts w:ascii="Google Sans Text" w:cs="Google Sans Text" w:eastAsia="Google Sans Text" w:hAnsi="Google Sans Text"/>
          <w:b w:val="1"/>
          <w:bCs w:val="1"/>
          <w:color w:val="1f1f1f"/>
          <w:rtl w:val="0"/>
        </w:rPr>
        <w:t xml:space="preserve">3–4 g leucino</w:t>
      </w:r>
      <w:r w:rsidDel="00000000" w:rsidR="00000000" w:rsidRPr="00000000">
        <w:rPr>
          <w:rFonts w:ascii="Google Sans Text" w:cs="Google Sans Text" w:eastAsia="Google Sans Text" w:hAnsi="Google Sans Text"/>
          <w:color w:val="1f1f1f"/>
          <w:rtl w:val="0"/>
        </w:rPr>
        <w:t xml:space="preserve"> per valgį. Tai reiškia, kad vyresniems žmonėms papildai su papildomu leucinu arba išrūgų baltymai gali būti ypač naudingi, nes su įprastu maistu gauti tokį leucino kiekį neapkraunant virškinimo sistemos gali būti sunku.</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6.2.2. Bendras paros poreikis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RDA (0.8 g/kg) vyresniems žmonėms yra kritiškai maža. Siekiant išlaikyti ir auginti raumenis, vyresniems (50+) rekomenduojama </w:t>
      </w:r>
      <w:r w:rsidDel="00000000" w:rsidR="00000000" w:rsidRPr="00000000">
        <w:rPr>
          <w:rFonts w:ascii="Google Sans Text" w:cs="Google Sans Text" w:eastAsia="Google Sans Text" w:hAnsi="Google Sans Text"/>
          <w:b w:val="1"/>
          <w:bCs w:val="1"/>
          <w:color w:val="1f1f1f"/>
          <w:rtl w:val="0"/>
        </w:rPr>
        <w:t xml:space="preserve">1.2–1.6 g/kg/d</w:t>
      </w:r>
      <w:r w:rsidDel="00000000" w:rsidR="00000000" w:rsidRPr="00000000">
        <w:rPr>
          <w:rFonts w:ascii="Google Sans Text" w:cs="Google Sans Text" w:eastAsia="Google Sans Text" w:hAnsi="Google Sans Text"/>
          <w:color w:val="1f1f1f"/>
          <w:rtl w:val="0"/>
        </w:rPr>
        <w:t xml:space="preserve">, o sergant lėtinėmis ligomis ar intensyviai sportuojant – dar daugiau.</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7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6.2.3. Testosterono mažėjimas ir Mityba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Vyrams nuo 30–40 metų testosteronas mažėja apie 1–2% kasmet. Mityba gali padėti sulėtinti šį procesą.</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Mikroelementai:</w:t>
      </w:r>
      <w:r w:rsidDel="00000000" w:rsidR="00000000" w:rsidRPr="00000000">
        <w:rPr>
          <w:rFonts w:ascii="Google Sans Text" w:cs="Google Sans Text" w:eastAsia="Google Sans Text" w:hAnsi="Google Sans Text"/>
          <w:color w:val="1f1f1f"/>
          <w:rtl w:val="0"/>
        </w:rPr>
        <w:t xml:space="preserve"> Cinkas, Magnis ir Vitaminas D yra būtini testosterono gamybai. Jų trūkumas dažnas vyresniame amžiuje.</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Riebalai:</w:t>
      </w:r>
      <w:r w:rsidDel="00000000" w:rsidR="00000000" w:rsidRPr="00000000">
        <w:rPr>
          <w:rFonts w:ascii="Google Sans Text" w:cs="Google Sans Text" w:eastAsia="Google Sans Text" w:hAnsi="Google Sans Text"/>
          <w:color w:val="1f1f1f"/>
          <w:rtl w:val="0"/>
        </w:rPr>
        <w:t xml:space="preserve"> Kaip minėta, adekvatus sočiųjų ir mononesočiųjų riebalų vartojimas yra būtinas hormonų gamybai. Vyresniame amžiuje, kai kalorijų poreikis mažėja dėl lėtėjančios medžiagų apykaitos, svarbu "nepjauti" riebalų sąskaita hormonų sveikatos.</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6.2.4. Menopauzė ir Perimenopauzė</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Moterims estrogeliai veikia anaboliškai. Jų staigus sumažėjimas menopauzės metu pagreitina raumenų nykimą ir pilvinį nutukimą.</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Strategija:</w:t>
      </w:r>
      <w:r w:rsidDel="00000000" w:rsidR="00000000" w:rsidRPr="00000000">
        <w:rPr>
          <w:rFonts w:ascii="Google Sans Text" w:cs="Google Sans Text" w:eastAsia="Google Sans Text" w:hAnsi="Google Sans Text"/>
          <w:color w:val="1f1f1f"/>
          <w:rtl w:val="0"/>
        </w:rPr>
        <w:t xml:space="preserve"> Būtina griežtai laikytis jėgos treniruočių (mechaninis stimulas) ir padidinto baltymų kiekio, kad kompensuoti estrogeno praradimą. Taip pat, dėmesys insulino jautrumui (mažesnis glikeminis indeksas angliavandeniams) tampa svarbesnis.</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Išvados ir Praktinės Gairės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Mitybos strategijos hipertrofijai nėra universalios; jos turi būti adaptuojamos pagal individualų profilį.</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Suvestinė lentelė: Rekomendacijos pagal demografiją</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Parametras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Jauni Vyrai (20-35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Jaunos Moterys (20-35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Vidutinis Amžius (40-55 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Senjorai (60+ 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Kalorijų perteklius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10-20% (&gt;300-500 kcal)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5-10% (konservatyvus)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5-10% (atsargus, stebėti riebalus)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Minimalus arba palaikymas (fokusas į baltymų kokybę)</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 (g/kg/d)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 – 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 – 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1.6 – 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1.2 – 1.6+</w:t>
            </w:r>
            <w:r w:rsidDel="00000000" w:rsidR="00000000" w:rsidRPr="00000000">
              <w:rPr>
                <w:rFonts w:ascii="Google Sans Text" w:cs="Google Sans Text" w:eastAsia="Google Sans Text" w:hAnsi="Google Sans Text"/>
                <w:color w:val="1f1f1f"/>
                <w:shd w:fill="auto" w:val="clear"/>
                <w:rtl w:val="0"/>
              </w:rPr>
              <w:t xml:space="preserve"> (Svarbu dozė per valgį)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Baltymai per valgį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~0.25 g/kg (~20-25g)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~0.25 g/kg (~20-25g)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~0.30 g/kg (~30g)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~0.40 g/kg (~35-40g)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Leucinas per valgį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 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3-4 g</w:t>
            </w:r>
            <w:r w:rsidDel="00000000" w:rsidR="00000000" w:rsidRPr="00000000">
              <w:rPr>
                <w:rFonts w:ascii="Google Sans Text" w:cs="Google Sans Text" w:eastAsia="Google Sans Text" w:hAnsi="Google Sans Text"/>
                <w:color w:val="1f1f1f"/>
                <w:shd w:fill="auto" w:val="clear"/>
                <w:rtl w:val="0"/>
              </w:rPr>
              <w:t xml:space="preserve"> (Būtina įveikti atsparumą)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Riebalai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0.5-1.5 g/kg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Min. 1.0 g/kg</w:t>
            </w:r>
            <w:r w:rsidDel="00000000" w:rsidR="00000000" w:rsidRPr="00000000">
              <w:rPr>
                <w:rFonts w:ascii="Google Sans Text" w:cs="Google Sans Text" w:eastAsia="Google Sans Text" w:hAnsi="Google Sans Text"/>
                <w:color w:val="1f1f1f"/>
                <w:shd w:fill="auto" w:val="clear"/>
                <w:rtl w:val="0"/>
              </w:rPr>
              <w:t xml:space="preserve"> (Hormonai)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Fokusas į Omega-3 (uždegimo mažinimas)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Fokusas į Omega-3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Angliavandeniai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4-7 g/kg (pagal tūrį)</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Gali būti mažiau (geresnė riebalų oksidacija)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Kontroliuoti glikeminį indeksą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Kontroliuoti glikeminį indeksą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Papildų prioritetas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Kreatinas, Išrūgos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Kreatinas, Geležis, Kalcis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Kreatinas, D3, Cinkas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Kreatinas, </w:t>
            </w:r>
            <w:r w:rsidDel="00000000" w:rsidR="00000000" w:rsidRPr="00000000">
              <w:rPr>
                <w:rFonts w:ascii="Google Sans Text" w:cs="Google Sans Text" w:eastAsia="Google Sans Text" w:hAnsi="Google Sans Text"/>
                <w:b w:val="1"/>
                <w:bCs w:val="1"/>
                <w:color w:val="1f1f1f"/>
                <w:shd w:fill="auto" w:val="clear"/>
                <w:rtl w:val="0"/>
              </w:rPr>
              <w:t xml:space="preserve">HMB</w:t>
            </w:r>
            <w:r w:rsidDel="00000000" w:rsidR="00000000" w:rsidRPr="00000000">
              <w:rPr>
                <w:rFonts w:ascii="Google Sans Text" w:cs="Google Sans Text" w:eastAsia="Google Sans Text" w:hAnsi="Google Sans Text"/>
                <w:color w:val="1f1f1f"/>
                <w:shd w:fill="auto" w:val="clear"/>
                <w:rtl w:val="0"/>
              </w:rPr>
              <w:t xml:space="preserve">, Išrūgos, D3</w:t>
            </w:r>
          </w:p>
        </w:tc>
      </w:tr>
    </w:tbl>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Esminiai principai sėkmei:</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Hierarchija:</w:t>
      </w:r>
      <w:r w:rsidDel="00000000" w:rsidR="00000000" w:rsidRPr="00000000">
        <w:rPr>
          <w:rFonts w:ascii="Google Sans Text" w:cs="Google Sans Text" w:eastAsia="Google Sans Text" w:hAnsi="Google Sans Text"/>
          <w:color w:val="1f1f1f"/>
          <w:rtl w:val="0"/>
        </w:rPr>
        <w:t xml:space="preserve"> Pirmiausia užtikrinti energijos ir baltymų balansą, tada optimizuoti makroelementų santykį, ir tik galiausiai – laiko strategijas ir papildus.</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Anabolinis langas yra paros trukmės:</w:t>
      </w:r>
      <w:r w:rsidDel="00000000" w:rsidR="00000000" w:rsidRPr="00000000">
        <w:rPr>
          <w:rFonts w:ascii="Google Sans Text" w:cs="Google Sans Text" w:eastAsia="Google Sans Text" w:hAnsi="Google Sans Text"/>
          <w:color w:val="1f1f1f"/>
          <w:rtl w:val="0"/>
        </w:rPr>
        <w:t xml:space="preserve"> Valgymas kas 3–4 valandas su pakankamu baltymų kiekiu yra efektyviausia strategija maksimaliam augimui.</w:t>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Amžius keičia taisykles:</w:t>
      </w:r>
      <w:r w:rsidDel="00000000" w:rsidR="00000000" w:rsidRPr="00000000">
        <w:rPr>
          <w:rFonts w:ascii="Google Sans Text" w:cs="Google Sans Text" w:eastAsia="Google Sans Text" w:hAnsi="Google Sans Text"/>
          <w:color w:val="1f1f1f"/>
          <w:rtl w:val="0"/>
        </w:rPr>
        <w:t xml:space="preserve"> Tai, kas veikė 20-ies (mažas baltymų kiekis, nereguliarus valgymas), 50-ies nebeveiks dėl anabolinio atsparumo. Vyresniame amžiuje mityba turi būti tikslesnė ir baltymų kiekis per vieną valgymą – didesnis.</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Papildai yra įrankiai, ne sprendimai:</w:t>
      </w:r>
      <w:r w:rsidDel="00000000" w:rsidR="00000000" w:rsidRPr="00000000">
        <w:rPr>
          <w:rFonts w:ascii="Google Sans Text" w:cs="Google Sans Text" w:eastAsia="Google Sans Text" w:hAnsi="Google Sans Text"/>
          <w:color w:val="1f1f1f"/>
          <w:rtl w:val="0"/>
        </w:rPr>
        <w:t xml:space="preserve"> Kreatinas yra vienintelis "privalomas" papildas rimtam atletui dėl jo unikalaus poveikio energetikai, kurio sunku gauti vien iš maisto.</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Apibendrinant, raumenų hipertrofija yra moksliškai valdomas procesas. Sujungus progresyvų mechaninį krūvį su mitybos strategija, kuri atsižvelgia į metabolinį langą, leucino slenkstį ir hormoninius ypatumus, galima pasiekti maksimalų genetinį potencialą bet kuriame amžiuje.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Cituoti šaltiniai</w:t>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protein and ..., pasiekta sausio 1, 2026, </w:t>
      </w:r>
      <w:hyperlink r:id="rId6">
        <w:r w:rsidDel="00000000" w:rsidR="00000000" w:rsidRPr="00000000">
          <w:rPr>
            <w:rFonts w:ascii="Google Sans" w:cs="Google Sans" w:eastAsia="Google Sans" w:hAnsi="Google Sans"/>
            <w:color w:val="0000ee"/>
            <w:sz w:val="24"/>
            <w:szCs w:val="24"/>
            <w:u w:val="single"/>
            <w:rtl w:val="0"/>
          </w:rPr>
          <w:t xml:space="preserve">https://pmc.ncbi.nlm.nih.gov/articles/PMC5477153/</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diets and body composition - PubMed, pasiekta sausio 1, 2026, </w:t>
      </w:r>
      <w:hyperlink r:id="rId7">
        <w:r w:rsidDel="00000000" w:rsidR="00000000" w:rsidRPr="00000000">
          <w:rPr>
            <w:rFonts w:ascii="Google Sans" w:cs="Google Sans" w:eastAsia="Google Sans" w:hAnsi="Google Sans"/>
            <w:color w:val="0000ee"/>
            <w:sz w:val="24"/>
            <w:szCs w:val="24"/>
            <w:u w:val="single"/>
            <w:rtl w:val="0"/>
          </w:rPr>
          <w:t xml:space="preserve">https://pubmed.ncbi.nlm.nih.gov/28630601/</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Diets and body composition, pasiekta sausio 1, 2026, </w:t>
      </w:r>
      <w:hyperlink r:id="rId8">
        <w:r w:rsidDel="00000000" w:rsidR="00000000" w:rsidRPr="00000000">
          <w:rPr>
            <w:rFonts w:ascii="Google Sans" w:cs="Google Sans" w:eastAsia="Google Sans" w:hAnsi="Google Sans"/>
            <w:color w:val="0000ee"/>
            <w:sz w:val="24"/>
            <w:szCs w:val="24"/>
            <w:u w:val="single"/>
            <w:rtl w:val="0"/>
          </w:rPr>
          <w:t xml:space="preserve">https://www.researchgate.net/publication/317708391_International_society_of_sports_nutrition_position_stand_Diets_and_body_composition</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Recommendations for Bodybuilders in the Off-Season: A Narrative Review - NIH, pasiekta sausio 1, 2026, </w:t>
      </w:r>
      <w:hyperlink r:id="rId9">
        <w:r w:rsidDel="00000000" w:rsidR="00000000" w:rsidRPr="00000000">
          <w:rPr>
            <w:rFonts w:ascii="Google Sans" w:cs="Google Sans" w:eastAsia="Google Sans" w:hAnsi="Google Sans"/>
            <w:color w:val="0000ee"/>
            <w:sz w:val="24"/>
            <w:szCs w:val="24"/>
            <w:u w:val="single"/>
            <w:rtl w:val="0"/>
          </w:rPr>
          <w:t xml:space="preserve">https://pmc.ncbi.nlm.nih.gov/articles/PMC6680710/</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 of Small and Large Energy Surpluses on Strength, Muscle, and Skinfold Thickness in Resistance-Trained Individuals: A Parallel Groups Design - PMC - NIH, pasiekta sausio 1, 2026, </w:t>
      </w:r>
      <w:hyperlink r:id="rId10">
        <w:r w:rsidDel="00000000" w:rsidR="00000000" w:rsidRPr="00000000">
          <w:rPr>
            <w:rFonts w:ascii="Google Sans" w:cs="Google Sans" w:eastAsia="Google Sans" w:hAnsi="Google Sans"/>
            <w:color w:val="0000ee"/>
            <w:sz w:val="24"/>
            <w:szCs w:val="24"/>
            <w:u w:val="single"/>
            <w:rtl w:val="0"/>
          </w:rPr>
          <w:t xml:space="preserve">https://pmc.ncbi.nlm.nih.gov/articles/PMC10620361/</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 Caloric Surplus Necessary to Build Muscle - Dirty Bulking vs Clea - 1UP Nutrition, pasiekta sausio 1, 2026, </w:t>
      </w:r>
      <w:hyperlink r:id="rId11">
        <w:r w:rsidDel="00000000" w:rsidR="00000000" w:rsidRPr="00000000">
          <w:rPr>
            <w:rFonts w:ascii="Google Sans" w:cs="Google Sans" w:eastAsia="Google Sans" w:hAnsi="Google Sans"/>
            <w:color w:val="0000ee"/>
            <w:sz w:val="24"/>
            <w:szCs w:val="24"/>
            <w:u w:val="single"/>
            <w:rtl w:val="0"/>
          </w:rPr>
          <w:t xml:space="preserve">https://1upnutrition.com/blogs/expert-advice/is-a-caloric-surplus-necessary-to-build-muscle-dirty-bulking-vs-clean-bulking</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Some people say you need to be in a caloric surplus to gain muscle, some people say you don't have to be, and some even say you can be in a deficit. Which is it? : r/bodyweightfitness - Reddit, pasiekta sausio 1, 2026, </w:t>
      </w:r>
      <w:hyperlink r:id="rId12">
        <w:r w:rsidDel="00000000" w:rsidR="00000000" w:rsidRPr="00000000">
          <w:rPr>
            <w:rFonts w:ascii="Google Sans" w:cs="Google Sans" w:eastAsia="Google Sans" w:hAnsi="Google Sans"/>
            <w:color w:val="0000ee"/>
            <w:sz w:val="24"/>
            <w:szCs w:val="24"/>
            <w:u w:val="single"/>
            <w:rtl w:val="0"/>
          </w:rPr>
          <w:t xml:space="preserve">https://www.reddit.com/r/bodyweightfitness/comments/19906ns/some_people_say_you_need_to_be_in_a_caloric/</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 Recommendations for Bodybuilders in the Off-Season: A Narrative Review - MDPI, pasiekta sausio 1, 2026, </w:t>
      </w:r>
      <w:hyperlink r:id="rId13">
        <w:r w:rsidDel="00000000" w:rsidR="00000000" w:rsidRPr="00000000">
          <w:rPr>
            <w:rFonts w:ascii="Google Sans" w:cs="Google Sans" w:eastAsia="Google Sans" w:hAnsi="Google Sans"/>
            <w:color w:val="0000ee"/>
            <w:sz w:val="24"/>
            <w:szCs w:val="24"/>
            <w:u w:val="single"/>
            <w:rtl w:val="0"/>
          </w:rPr>
          <w:t xml:space="preserve">https://www.mdpi.com/2075-4663/7/7/154</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Supplements for Muscle Hypertrophy: Mechanisms and ..., pasiekta sausio 1, 2026, </w:t>
      </w:r>
      <w:hyperlink r:id="rId14">
        <w:r w:rsidDel="00000000" w:rsidR="00000000" w:rsidRPr="00000000">
          <w:rPr>
            <w:rFonts w:ascii="Google Sans" w:cs="Google Sans" w:eastAsia="Google Sans" w:hAnsi="Google Sans"/>
            <w:color w:val="0000ee"/>
            <w:sz w:val="24"/>
            <w:szCs w:val="24"/>
            <w:u w:val="single"/>
            <w:rtl w:val="0"/>
          </w:rPr>
          <w:t xml:space="preserve">https://www.mdpi.com/2072-6643/17/22/3603</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Dose–response relationship between protein intake and muscle mass increase: a systematic review and meta-analysis of randomized controlled trials - Oxford Academic, pasiekta sausio 1, 2026, </w:t>
      </w:r>
      <w:hyperlink r:id="rId15">
        <w:r w:rsidDel="00000000" w:rsidR="00000000" w:rsidRPr="00000000">
          <w:rPr>
            <w:rFonts w:ascii="Google Sans" w:cs="Google Sans" w:eastAsia="Google Sans" w:hAnsi="Google Sans"/>
            <w:color w:val="0000ee"/>
            <w:sz w:val="24"/>
            <w:szCs w:val="24"/>
            <w:u w:val="single"/>
            <w:rtl w:val="0"/>
          </w:rPr>
          <w:t xml:space="preserve">https://academic.oup.com/nutritionreviews/article/79/1/66/5936522</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Hypertrophy Diet | Fueling Muscle Growth for Maximum Gains - Kettlebell Kings, pasiekta sausio 1, 2026, </w:t>
      </w:r>
      <w:hyperlink r:id="rId16">
        <w:r w:rsidDel="00000000" w:rsidR="00000000" w:rsidRPr="00000000">
          <w:rPr>
            <w:rFonts w:ascii="Google Sans" w:cs="Google Sans" w:eastAsia="Google Sans" w:hAnsi="Google Sans"/>
            <w:color w:val="0000ee"/>
            <w:sz w:val="24"/>
            <w:szCs w:val="24"/>
            <w:u w:val="single"/>
            <w:rtl w:val="0"/>
          </w:rPr>
          <w:t xml:space="preserve">https://www.kettlebellkings.com/blogs/default-blog/hypertrophy-diet</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Carbohydrate Intake on Strength and Resistance Training Performance: A Systematic Review - PMC - NIH, pasiekta sausio 1, 2026, </w:t>
      </w:r>
      <w:hyperlink r:id="rId17">
        <w:r w:rsidDel="00000000" w:rsidR="00000000" w:rsidRPr="00000000">
          <w:rPr>
            <w:rFonts w:ascii="Google Sans" w:cs="Google Sans" w:eastAsia="Google Sans" w:hAnsi="Google Sans"/>
            <w:color w:val="0000ee"/>
            <w:sz w:val="24"/>
            <w:szCs w:val="24"/>
            <w:u w:val="single"/>
            <w:rtl w:val="0"/>
          </w:rPr>
          <w:t xml:space="preserve">https://pmc.ncbi.nlm.nih.gov/articles/PMC8878406/</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Nutrient Timing - Scholar Commons, pasiekta sausio 1, 2026, </w:t>
      </w:r>
      <w:hyperlink r:id="rId18">
        <w:r w:rsidDel="00000000" w:rsidR="00000000" w:rsidRPr="00000000">
          <w:rPr>
            <w:rFonts w:ascii="Google Sans" w:cs="Google Sans" w:eastAsia="Google Sans" w:hAnsi="Google Sans"/>
            <w:color w:val="0000ee"/>
            <w:sz w:val="24"/>
            <w:szCs w:val="24"/>
            <w:u w:val="single"/>
            <w:rtl w:val="0"/>
          </w:rPr>
          <w:t xml:space="preserve">https://scholarcommons.sc.edu/cgi/viewcontent.cgi?article=1377&amp;context=sph_physical_activity_public_health_facpub</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Carbohydrate intake and resistance-based exercise: are current recommendations reflective of actual need? | British Journal of Nutrition, pasiekta sausio 1, 2026, </w:t>
      </w:r>
      <w:hyperlink r:id="rId19">
        <w:r w:rsidDel="00000000" w:rsidR="00000000" w:rsidRPr="00000000">
          <w:rPr>
            <w:rFonts w:ascii="Google Sans" w:cs="Google Sans" w:eastAsia="Google Sans" w:hAnsi="Google Sans"/>
            <w:color w:val="0000ee"/>
            <w:sz w:val="24"/>
            <w:szCs w:val="24"/>
            <w:u w:val="single"/>
            <w:rtl w:val="0"/>
          </w:rPr>
          <w:t xml:space="preserve">https://www.cambridge.org/core/journals/british-journal-of-nutrition/article/carbohydrate-intake-and-resistancebased-exercise-are-current-recommendations-reflective-of-actual-need/45C97BD7A99949777E3474E50709A7DA</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an Energy Surplus Required to Maximize Skeletal Muscle Hypertrophy Associated With Resistance Training - PMC - NIH, pasiekta sausio 1, 2026, </w:t>
      </w:r>
      <w:hyperlink r:id="rId20">
        <w:r w:rsidDel="00000000" w:rsidR="00000000" w:rsidRPr="00000000">
          <w:rPr>
            <w:rFonts w:ascii="Google Sans" w:cs="Google Sans" w:eastAsia="Google Sans" w:hAnsi="Google Sans"/>
            <w:color w:val="0000ee"/>
            <w:sz w:val="24"/>
            <w:szCs w:val="24"/>
            <w:u w:val="single"/>
            <w:rtl w:val="0"/>
          </w:rPr>
          <w:t xml:space="preserve">https://pmc.ncbi.nlm.nih.gov/articles/PMC6710320/</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Macronutrient Considerations for the Sport of Bodybuilding - University of Toledo, pasiekta sausio 1, 2026, </w:t>
      </w:r>
      <w:hyperlink r:id="rId21">
        <w:r w:rsidDel="00000000" w:rsidR="00000000" w:rsidRPr="00000000">
          <w:rPr>
            <w:rFonts w:ascii="Google Sans" w:cs="Google Sans" w:eastAsia="Google Sans" w:hAnsi="Google Sans"/>
            <w:color w:val="0000ee"/>
            <w:sz w:val="24"/>
            <w:szCs w:val="24"/>
            <w:u w:val="single"/>
            <w:rtl w:val="0"/>
          </w:rPr>
          <w:t xml:space="preserve">https://www.utoledo.edu/med/depts/medicine/endocrinology/pdfs/macronutrient_considerations_f.pdf</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Testosterone &amp; Diet: How Nutrition Supports Men's Health | The Lanby, pasiekta sausio 1, 2026, </w:t>
      </w:r>
      <w:hyperlink r:id="rId22">
        <w:r w:rsidDel="00000000" w:rsidR="00000000" w:rsidRPr="00000000">
          <w:rPr>
            <w:rFonts w:ascii="Google Sans" w:cs="Google Sans" w:eastAsia="Google Sans" w:hAnsi="Google Sans"/>
            <w:color w:val="0000ee"/>
            <w:sz w:val="24"/>
            <w:szCs w:val="24"/>
            <w:u w:val="single"/>
            <w:rtl w:val="0"/>
          </w:rPr>
          <w:t xml:space="preserve">https://www.thelanby.com/blog/testosterone-diet-how-nutrition-supports-mens-health</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nutrient timing - Taylor &amp; Francis, pasiekta sausio 1, 2026, </w:t>
      </w:r>
      <w:hyperlink r:id="rId23">
        <w:r w:rsidDel="00000000" w:rsidR="00000000" w:rsidRPr="00000000">
          <w:rPr>
            <w:rFonts w:ascii="Google Sans" w:cs="Google Sans" w:eastAsia="Google Sans" w:hAnsi="Google Sans"/>
            <w:color w:val="0000ee"/>
            <w:sz w:val="24"/>
            <w:szCs w:val="24"/>
            <w:u w:val="single"/>
            <w:rtl w:val="0"/>
          </w:rPr>
          <w:t xml:space="preserve">https://www.tandfonline.com/doi/full/10.1186/s12970-017-0189-4</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nutrient timing - PubMed, pasiekta sausio 1, 2026, </w:t>
      </w:r>
      <w:hyperlink r:id="rId24">
        <w:r w:rsidDel="00000000" w:rsidR="00000000" w:rsidRPr="00000000">
          <w:rPr>
            <w:rFonts w:ascii="Google Sans" w:cs="Google Sans" w:eastAsia="Google Sans" w:hAnsi="Google Sans"/>
            <w:color w:val="0000ee"/>
            <w:sz w:val="24"/>
            <w:szCs w:val="24"/>
            <w:u w:val="single"/>
            <w:rtl w:val="0"/>
          </w:rPr>
          <w:t xml:space="preserve">https://pubmed.ncbi.nlm.nih.gov/28919842/</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Society of Sports Nutrition position stand: Nutrient timing - Taylor &amp; Francis, pasiekta sausio 1, 2026, </w:t>
      </w:r>
      <w:hyperlink r:id="rId25">
        <w:r w:rsidDel="00000000" w:rsidR="00000000" w:rsidRPr="00000000">
          <w:rPr>
            <w:rFonts w:ascii="Google Sans" w:cs="Google Sans" w:eastAsia="Google Sans" w:hAnsi="Google Sans"/>
            <w:color w:val="0000ee"/>
            <w:sz w:val="24"/>
            <w:szCs w:val="24"/>
            <w:u w:val="single"/>
            <w:rtl w:val="0"/>
          </w:rPr>
          <w:t xml:space="preserve">https://www.tandfonline.com/doi/full/10.1186/1550-2783-5-17</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of Creatine Supplementation and Resistance Training: A Brief Review - Journal of Exercise and Nutrition, pasiekta sausio 1, 2026, </w:t>
      </w:r>
      <w:hyperlink r:id="rId26">
        <w:r w:rsidDel="00000000" w:rsidR="00000000" w:rsidRPr="00000000">
          <w:rPr>
            <w:rFonts w:ascii="Google Sans" w:cs="Google Sans" w:eastAsia="Google Sans" w:hAnsi="Google Sans"/>
            <w:color w:val="0000ee"/>
            <w:sz w:val="24"/>
            <w:szCs w:val="24"/>
            <w:u w:val="single"/>
            <w:rtl w:val="0"/>
          </w:rPr>
          <w:t xml:space="preserve">https://www.journalofexerciseandnutrition.com/index.php/JEN/article/download/33/26</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pre versus post workout supplementation of creatine monohydrate on body composition and strength - PubMed Central, pasiekta sausio 1, 2026, </w:t>
      </w:r>
      <w:hyperlink r:id="rId27">
        <w:r w:rsidDel="00000000" w:rsidR="00000000" w:rsidRPr="00000000">
          <w:rPr>
            <w:rFonts w:ascii="Google Sans" w:cs="Google Sans" w:eastAsia="Google Sans" w:hAnsi="Google Sans"/>
            <w:color w:val="0000ee"/>
            <w:sz w:val="24"/>
            <w:szCs w:val="24"/>
            <w:u w:val="single"/>
            <w:rtl w:val="0"/>
          </w:rPr>
          <w:t xml:space="preserve">https://pmc.ncbi.nlm.nih.gov/articles/PMC4042900/</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β-alanine supplementation on exercise performance: a meta-analysis - PMC, pasiekta sausio 1,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https://pmc.ncbi.nlm.nih.gov/articles/PMC3374095/</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Acute Effect of Citrulline Malate on Repetition Performance During Strength Training: A Systematic Review and Meta-Analysis in, pasiekta sausio 1, 2026, </w:t>
      </w:r>
      <w:hyperlink r:id="rId29">
        <w:r w:rsidDel="00000000" w:rsidR="00000000" w:rsidRPr="00000000">
          <w:rPr>
            <w:rFonts w:ascii="Google Sans" w:cs="Google Sans" w:eastAsia="Google Sans" w:hAnsi="Google Sans"/>
            <w:color w:val="0000ee"/>
            <w:sz w:val="24"/>
            <w:szCs w:val="24"/>
            <w:u w:val="single"/>
            <w:rtl w:val="0"/>
          </w:rPr>
          <w:t xml:space="preserve">https://journals.humankinetics.com/view/journals/ijsnem/31/4/article-p350.xml</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Sex differences in absolute and relative changes in muscle size following resistance training in healthy adults: a systematic review with Bayesian meta-analysis - PeerJ, pasiekta sausio 1, 2026, </w:t>
      </w:r>
      <w:hyperlink r:id="rId30">
        <w:r w:rsidDel="00000000" w:rsidR="00000000" w:rsidRPr="00000000">
          <w:rPr>
            <w:rFonts w:ascii="Google Sans" w:cs="Google Sans" w:eastAsia="Google Sans" w:hAnsi="Google Sans"/>
            <w:color w:val="0000ee"/>
            <w:sz w:val="24"/>
            <w:szCs w:val="24"/>
            <w:u w:val="single"/>
            <w:rtl w:val="0"/>
          </w:rPr>
          <w:t xml:space="preserve">https://peerj.com/articles/19042/</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Sex-Based Differences in Muscle Protein Turnover and Metabolism In Aging: Feeding and Exercise Responses - Gatorade Sports Science Institute, pasiekta sausio 1, 2026, </w:t>
      </w:r>
      <w:hyperlink r:id="rId31">
        <w:r w:rsidDel="00000000" w:rsidR="00000000" w:rsidRPr="00000000">
          <w:rPr>
            <w:rFonts w:ascii="Google Sans" w:cs="Google Sans" w:eastAsia="Google Sans" w:hAnsi="Google Sans"/>
            <w:color w:val="0000ee"/>
            <w:sz w:val="24"/>
            <w:szCs w:val="24"/>
            <w:u w:val="single"/>
            <w:rtl w:val="0"/>
          </w:rPr>
          <w:t xml:space="preserve">https://www.gssiweb.org/sports-science-exchange/article/sse-121-sex-based-differences-in-muscle-protein-turnover-and-metabolism-in-aging-feeding-and-exercise-responses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Approaches to Nutrition for Female Athletes - Gatorade Sports Science Institute, pasiekta sausio 1, 2026, </w:t>
      </w:r>
      <w:hyperlink r:id="rId32">
        <w:r w:rsidDel="00000000" w:rsidR="00000000" w:rsidRPr="00000000">
          <w:rPr>
            <w:rFonts w:ascii="Google Sans" w:cs="Google Sans" w:eastAsia="Google Sans" w:hAnsi="Google Sans"/>
            <w:color w:val="0000ee"/>
            <w:sz w:val="24"/>
            <w:szCs w:val="24"/>
            <w:u w:val="single"/>
            <w:rtl w:val="0"/>
          </w:rPr>
          <w:t xml:space="preserve">https://www.gssiweb.org/sports-science-exchange/article/practical-approaches-to-nutrition-for-female-athletes</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Sex differences and considerations for female specific nutritional strategies: a narrative review - Taylor &amp; Francis, pasiekta sausio 1, 2026, </w:t>
      </w:r>
      <w:hyperlink r:id="rId33">
        <w:r w:rsidDel="00000000" w:rsidR="00000000" w:rsidRPr="00000000">
          <w:rPr>
            <w:rFonts w:ascii="Google Sans" w:cs="Google Sans" w:eastAsia="Google Sans" w:hAnsi="Google Sans"/>
            <w:color w:val="0000ee"/>
            <w:sz w:val="24"/>
            <w:szCs w:val="24"/>
            <w:u w:val="single"/>
            <w:rtl w:val="0"/>
          </w:rPr>
          <w:t xml:space="preserve">https://www.tandfonline.com/doi/full/10.1186/s12970-021-00422-8</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Sex differences in energy balance, body composition, and metabolic and endocrine markers during prolonged arduous military training | Journal of Applied Physiology, pasiekta sausio 1, 2026, </w:t>
      </w:r>
      <w:hyperlink r:id="rId34">
        <w:r w:rsidDel="00000000" w:rsidR="00000000" w:rsidRPr="00000000">
          <w:rPr>
            <w:rFonts w:ascii="Google Sans" w:cs="Google Sans" w:eastAsia="Google Sans" w:hAnsi="Google Sans"/>
            <w:color w:val="0000ee"/>
            <w:sz w:val="24"/>
            <w:szCs w:val="24"/>
            <w:u w:val="single"/>
            <w:rtl w:val="0"/>
          </w:rPr>
          <w:t xml:space="preserve">https://journals.physiology.org/doi/full/10.1152/japplphysiol.00864.2023?doi=10.1152/japplphysiol.00864.2023</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Age-related muscle anabolic resistance: inevitable or preventable? - PubMed, pasiekta sausio 1, 2026, </w:t>
      </w:r>
      <w:hyperlink r:id="rId35">
        <w:r w:rsidDel="00000000" w:rsidR="00000000" w:rsidRPr="00000000">
          <w:rPr>
            <w:rFonts w:ascii="Google Sans" w:cs="Google Sans" w:eastAsia="Google Sans" w:hAnsi="Google Sans"/>
            <w:color w:val="0000ee"/>
            <w:sz w:val="24"/>
            <w:szCs w:val="24"/>
            <w:u w:val="single"/>
            <w:rtl w:val="0"/>
          </w:rPr>
          <w:t xml:space="preserve">https://pubmed.ncbi.nlm.nih.gov/36018750/</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Protein Requirements of Master Athletes: Do They Need More Than Their Younger Contemporaries? - Gatorade Sports Science Institute, pasiekta sausio 1, 2026, </w:t>
      </w:r>
      <w:hyperlink r:id="rId36">
        <w:r w:rsidDel="00000000" w:rsidR="00000000" w:rsidRPr="00000000">
          <w:rPr>
            <w:rFonts w:ascii="Google Sans" w:cs="Google Sans" w:eastAsia="Google Sans" w:hAnsi="Google Sans"/>
            <w:color w:val="0000ee"/>
            <w:sz w:val="24"/>
            <w:szCs w:val="24"/>
            <w:u w:val="single"/>
            <w:rtl w:val="0"/>
          </w:rPr>
          <w:t xml:space="preserve">https://www.gssiweb.org/sports-science-exchange/article/protein-requirements-of-master-athletes-do-they-need-more-than-their-younger-contemporaries</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leucine content in dietary protein the key to muscle preservation in older women? - NIH, pasiekta sausio 1,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https://pmc.ncbi.nlm.nih.gov/articles/PMC6248570/</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Find Leucine in Food and How to Feed Elderly With Sarcopenia in Order to Counteract Loss of Muscle Mass: Practical Advice - NIH, pasiekta sausio 1, 2026,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https://pmc.ncbi.nlm.nih.gov/articles/PMC7874106/</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variables regulating age-related anabolic responses to protein nutrition in skeletal muscle - Frontiers, pasiekta sausio 1, 2026, </w:t>
      </w:r>
      <w:hyperlink r:id="rId39">
        <w:r w:rsidDel="00000000" w:rsidR="00000000" w:rsidRPr="00000000">
          <w:rPr>
            <w:rFonts w:ascii="Google Sans" w:cs="Google Sans" w:eastAsia="Google Sans" w:hAnsi="Google Sans"/>
            <w:color w:val="0000ee"/>
            <w:sz w:val="24"/>
            <w:szCs w:val="24"/>
            <w:u w:val="single"/>
            <w:rtl w:val="0"/>
          </w:rPr>
          <w:t xml:space="preserve">https://www.frontiersin.org/journals/nutrition/articles/10.3389/fnut.2024.1419229/full</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Nutritional Interventions: Dietary Protein Needs and Influences on Skeletal Muscle of Older Adults | The Journals of Gerontology: Series A | Oxford Academic, pasiekta sausio 1, 2026, </w:t>
      </w:r>
      <w:hyperlink r:id="rId40">
        <w:r w:rsidDel="00000000" w:rsidR="00000000" w:rsidRPr="00000000">
          <w:rPr>
            <w:rFonts w:ascii="Google Sans" w:cs="Google Sans" w:eastAsia="Google Sans" w:hAnsi="Google Sans"/>
            <w:color w:val="0000ee"/>
            <w:sz w:val="24"/>
            <w:szCs w:val="24"/>
            <w:u w:val="single"/>
            <w:rtl w:val="0"/>
          </w:rPr>
          <w:t xml:space="preserve">https://academic.oup.com/biomedgerontology/article/78/Supplement_1/67/7199271</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Aging Affects Testosterone and Muscle Mass in Men - HSS, pasiekta sausio 1, 2026, </w:t>
      </w:r>
      <w:hyperlink r:id="rId41">
        <w:r w:rsidDel="00000000" w:rsidR="00000000" w:rsidRPr="00000000">
          <w:rPr>
            <w:rFonts w:ascii="Google Sans" w:cs="Google Sans" w:eastAsia="Google Sans" w:hAnsi="Google Sans"/>
            <w:color w:val="0000ee"/>
            <w:sz w:val="24"/>
            <w:szCs w:val="24"/>
            <w:u w:val="single"/>
            <w:rtl w:val="0"/>
          </w:rPr>
          <w:t xml:space="preserve">https://www.hss.edu/health-library/move-better/muscle-mass-testosterone</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Fitness and Nutrition in Perimenopause: What You Need to Know - Moves Workout App, pasiekta sausio 1, 2026, </w:t>
      </w:r>
      <w:hyperlink r:id="rId42">
        <w:r w:rsidDel="00000000" w:rsidR="00000000" w:rsidRPr="00000000">
          <w:rPr>
            <w:rFonts w:ascii="Google Sans" w:cs="Google Sans" w:eastAsia="Google Sans" w:hAnsi="Google Sans"/>
            <w:color w:val="0000ee"/>
            <w:sz w:val="24"/>
            <w:szCs w:val="24"/>
            <w:u w:val="single"/>
            <w:rtl w:val="0"/>
          </w:rPr>
          <w:t xml:space="preserve">https://www.movesapp.com/blog/fitness-and-nutrition-in-perimenopause-what-you-need-to-know</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Perimenopause Nutrition Foundations - TārāMD, pasiekta sausio 1, 2026, </w:t>
      </w:r>
      <w:hyperlink r:id="rId43">
        <w:r w:rsidDel="00000000" w:rsidR="00000000" w:rsidRPr="00000000">
          <w:rPr>
            <w:rFonts w:ascii="Google Sans" w:cs="Google Sans" w:eastAsia="Google Sans" w:hAnsi="Google Sans"/>
            <w:color w:val="0000ee"/>
            <w:sz w:val="24"/>
            <w:szCs w:val="24"/>
            <w:u w:val="single"/>
            <w:rtl w:val="0"/>
          </w:rPr>
          <w:t xml:space="preserve">https://www.taramd.com/post/perimenopause-nutrition-foundations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academic.oup.com/biomedgerontology/article/78/Supplement_1/67/7199271" TargetMode="External"/><Relationship Id="rId20" Type="http://schemas.openxmlformats.org/officeDocument/2006/relationships/hyperlink" Target="https://pmc.ncbi.nlm.nih.gov/articles/PMC6710320/" TargetMode="External"/><Relationship Id="rId42" Type="http://schemas.openxmlformats.org/officeDocument/2006/relationships/hyperlink" Target="https://www.movesapp.com/blog/fitness-and-nutrition-in-perimenopause-what-you-need-to-know" TargetMode="External"/><Relationship Id="rId41" Type="http://schemas.openxmlformats.org/officeDocument/2006/relationships/hyperlink" Target="https://www.hss.edu/health-library/move-better/muscle-mass-testosterone" TargetMode="External"/><Relationship Id="rId22" Type="http://schemas.openxmlformats.org/officeDocument/2006/relationships/hyperlink" Target="https://www.thelanby.com/blog/testosterone-diet-how-nutrition-supports-mens-health" TargetMode="External"/><Relationship Id="rId21" Type="http://schemas.openxmlformats.org/officeDocument/2006/relationships/hyperlink" Target="https://www.utoledo.edu/med/depts/medicine/endocrinology/pdfs/macronutrient_considerations_f.pdf" TargetMode="External"/><Relationship Id="rId43" Type="http://schemas.openxmlformats.org/officeDocument/2006/relationships/hyperlink" Target="https://www.taramd.com/post/perimenopause-nutrition-foundations" TargetMode="External"/><Relationship Id="rId24" Type="http://schemas.openxmlformats.org/officeDocument/2006/relationships/hyperlink" Target="https://pubmed.ncbi.nlm.nih.gov/28919842/" TargetMode="External"/><Relationship Id="rId23" Type="http://schemas.openxmlformats.org/officeDocument/2006/relationships/hyperlink" Target="https://www.tandfonline.com/doi/full/10.1186/s12970-017-0189-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6680710/" TargetMode="External"/><Relationship Id="rId26" Type="http://schemas.openxmlformats.org/officeDocument/2006/relationships/hyperlink" Target="https://www.journalofexerciseandnutrition.com/index.php/JEN/article/download/33/26" TargetMode="External"/><Relationship Id="rId25" Type="http://schemas.openxmlformats.org/officeDocument/2006/relationships/hyperlink" Target="https://www.tandfonline.com/doi/full/10.1186/1550-2783-5-17" TargetMode="External"/><Relationship Id="rId28" Type="http://schemas.openxmlformats.org/officeDocument/2006/relationships/hyperlink" Target="https://pmc.ncbi.nlm.nih.gov/articles/PMC3374095/" TargetMode="External"/><Relationship Id="rId27" Type="http://schemas.openxmlformats.org/officeDocument/2006/relationships/hyperlink" Target="https://pmc.ncbi.nlm.nih.gov/articles/PMC4042900/" TargetMode="External"/><Relationship Id="rId5" Type="http://schemas.openxmlformats.org/officeDocument/2006/relationships/styles" Target="styles.xml"/><Relationship Id="rId6" Type="http://schemas.openxmlformats.org/officeDocument/2006/relationships/hyperlink" Target="https://pmc.ncbi.nlm.nih.gov/articles/PMC5477153/" TargetMode="External"/><Relationship Id="rId29" Type="http://schemas.openxmlformats.org/officeDocument/2006/relationships/hyperlink" Target="https://journals.humankinetics.com/view/journals/ijsnem/31/4/article-p350.xml" TargetMode="External"/><Relationship Id="rId7" Type="http://schemas.openxmlformats.org/officeDocument/2006/relationships/hyperlink" Target="https://pubmed.ncbi.nlm.nih.gov/28630601/" TargetMode="External"/><Relationship Id="rId8" Type="http://schemas.openxmlformats.org/officeDocument/2006/relationships/hyperlink" Target="https://www.researchgate.net/publication/317708391_International_society_of_sports_nutrition_position_stand_Diets_and_body_composition" TargetMode="External"/><Relationship Id="rId31" Type="http://schemas.openxmlformats.org/officeDocument/2006/relationships/hyperlink" Target="https://www.gssiweb.org/sports-science-exchange/article/sse-121-sex-based-differences-in-muscle-protein-turnover-and-metabolism-in-aging-feeding-and-exercise-responses" TargetMode="External"/><Relationship Id="rId30" Type="http://schemas.openxmlformats.org/officeDocument/2006/relationships/hyperlink" Target="https://peerj.com/articles/19042/" TargetMode="External"/><Relationship Id="rId11" Type="http://schemas.openxmlformats.org/officeDocument/2006/relationships/hyperlink" Target="https://1upnutrition.com/blogs/expert-advice/is-a-caloric-surplus-necessary-to-build-muscle-dirty-bulking-vs-clean-bulking" TargetMode="External"/><Relationship Id="rId33" Type="http://schemas.openxmlformats.org/officeDocument/2006/relationships/hyperlink" Target="https://www.tandfonline.com/doi/full/10.1186/s12970-021-00422-8" TargetMode="External"/><Relationship Id="rId10" Type="http://schemas.openxmlformats.org/officeDocument/2006/relationships/hyperlink" Target="https://pmc.ncbi.nlm.nih.gov/articles/PMC10620361/" TargetMode="External"/><Relationship Id="rId32" Type="http://schemas.openxmlformats.org/officeDocument/2006/relationships/hyperlink" Target="https://www.gssiweb.org/sports-science-exchange/article/practical-approaches-to-nutrition-for-female-athletes" TargetMode="External"/><Relationship Id="rId13" Type="http://schemas.openxmlformats.org/officeDocument/2006/relationships/hyperlink" Target="https://www.mdpi.com/2075-4663/7/7/154" TargetMode="External"/><Relationship Id="rId35" Type="http://schemas.openxmlformats.org/officeDocument/2006/relationships/hyperlink" Target="https://pubmed.ncbi.nlm.nih.gov/36018750/" TargetMode="External"/><Relationship Id="rId12" Type="http://schemas.openxmlformats.org/officeDocument/2006/relationships/hyperlink" Target="https://www.reddit.com/r/bodyweightfitness/comments/19906ns/some_people_say_you_need_to_be_in_a_caloric/" TargetMode="External"/><Relationship Id="rId34" Type="http://schemas.openxmlformats.org/officeDocument/2006/relationships/hyperlink" Target="https://journals.physiology.org/doi/full/10.1152/japplphysiol.00864.2023?doi=10.1152/japplphysiol.00864.2023" TargetMode="External"/><Relationship Id="rId15" Type="http://schemas.openxmlformats.org/officeDocument/2006/relationships/hyperlink" Target="https://academic.oup.com/nutritionreviews/article/79/1/66/5936522" TargetMode="External"/><Relationship Id="rId37" Type="http://schemas.openxmlformats.org/officeDocument/2006/relationships/hyperlink" Target="https://pmc.ncbi.nlm.nih.gov/articles/PMC6248570/" TargetMode="External"/><Relationship Id="rId14" Type="http://schemas.openxmlformats.org/officeDocument/2006/relationships/hyperlink" Target="https://www.mdpi.com/2072-6643/17/22/3603" TargetMode="External"/><Relationship Id="rId36" Type="http://schemas.openxmlformats.org/officeDocument/2006/relationships/hyperlink" Target="https://www.gssiweb.org/sports-science-exchange/article/protein-requirements-of-master-athletes-do-they-need-more-than-their-younger-contemporaries" TargetMode="External"/><Relationship Id="rId17" Type="http://schemas.openxmlformats.org/officeDocument/2006/relationships/hyperlink" Target="https://pmc.ncbi.nlm.nih.gov/articles/PMC8878406/" TargetMode="External"/><Relationship Id="rId39" Type="http://schemas.openxmlformats.org/officeDocument/2006/relationships/hyperlink" Target="https://www.frontiersin.org/journals/nutrition/articles/10.3389/fnut.2024.1419229/full" TargetMode="External"/><Relationship Id="rId16" Type="http://schemas.openxmlformats.org/officeDocument/2006/relationships/hyperlink" Target="https://www.kettlebellkings.com/blogs/default-blog/hypertrophy-diet" TargetMode="External"/><Relationship Id="rId38" Type="http://schemas.openxmlformats.org/officeDocument/2006/relationships/hyperlink" Target="https://pmc.ncbi.nlm.nih.gov/articles/PMC7874106/" TargetMode="External"/><Relationship Id="rId19" Type="http://schemas.openxmlformats.org/officeDocument/2006/relationships/hyperlink" Target="https://www.cambridge.org/core/journals/british-journal-of-nutrition/article/carbohydrate-intake-and-resistancebased-exercise-are-current-recommendations-reflective-of-actual-need/45C97BD7A99949777E3474E50709A7DA" TargetMode="External"/><Relationship Id="rId18" Type="http://schemas.openxmlformats.org/officeDocument/2006/relationships/hyperlink" Target="https://scholarcommons.sc.edu/cgi/viewcontent.cgi?article=1377&amp;context=sph_physical_activity_public_health_facp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