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Išsami Klinikinė Ataskaita: Metabolinių ir Endokrininių Būklių Valdymas Sporte – Protokolai Diabetui ir RED-S Sindromui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Įvadas į Klinikinį Sporto Metabolizmą</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Šiuolaikinė sporto medicina susiduria su didėjančiu poreikiu integruoti sudėtingas klinikines būkles į aukšto meistriškumo atletų rengimo planus. Dvi iš ryškiausių metabolinių ir endokrininių patologijų, darančių tiesioginę įtaką sportiniam darbingumui ir ilgalaikei sveikatai, yra cukrinis diabetas (CD) bei Santykinis energijos trūkumus sporte (RED-S). Nors šios būklės skiriasi savo etiologija – viena yra lėtinis autoimuninis arba metabolinis sutrikimas, kita dažniausiai funkcinis adaptacinis atsakas į energijos stygių – jas vienija bendras vardiklis: būtinybė preciziškai valdyti energijos substratų (gliukozės, glikogeno, riebalų rūgščių) srautus ir hormoninius atsakus fizinio krūvio metu.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Šioje ataskaitoje pateikiama išsami mokslinė analizė ir praktiniai, įrodymais pagrįsti protokolai, skirti sporto medicinos specialistams. Dokumente sintezuojamos naujausios Amerikos diabeto asociacijos (ADA), Amerikos sporto medicinos koledžo (ACSM) ir Tarptautinio olimpinio komiteto (IOC) gairės. Pagrindinis dėmesys skiriamas gliukozės homeostazės mechanizmams fizinio krūvio metu diabetu sergantiems atletams bei sisteminiam RED-S sindromo valdymui, siekiant atstatyti reprodukcinę funkciją ir kaulų tankį.</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I Tipo Diabetas (T1D): Fiziologija ir Glikemijos Valdymas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Sportininkams, sergantiems I tipo diabetu (T1D), fizinis aktyvumas yra dvilypis veiksnys: tai yra galinga priemonė jautrumui insulinui didinti ir širdies bei kraujagyslių rizikai mažinti, tačiau kartu tai kelia didžiausią ūminę grėsmę – hipoglikemiją arba ketoacidozę. Pagrindinis iššūkis yra suderinti egzogeninio insulino farmakokinetiką su endogeniniais metaboliniais pokyčiais, kuriuos sukelia raumenų susitraukimai.</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Fizinio Krūvio Poveikis Gliukozės Kinetikai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Sveiko sportininko organizme insulino sekrecija fizinio krūvio metu natūraliai sumažėja, o kontrreguliacinių hormonų (gliukagono, epinefrino, kortizolio, augimo hormono) koncentracija padidėja. Tai leidžia kepenims gaminti gliukozę (per glikogenolizę ir gliukoneogenezę) tokiu greičiu, kuris atitinka raumenų gliukozės pasisavinimą, todėl glikemija išlieka stabili.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T1D atveju šis grįžtamasis ryšys yra sutrikęs: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Santykinė Hiperinsulinemija:</w:t>
      </w:r>
      <w:r w:rsidDel="00000000" w:rsidR="00000000" w:rsidRPr="00000000">
        <w:rPr>
          <w:rFonts w:ascii="Google Sans Text" w:cs="Google Sans Text" w:eastAsia="Google Sans Text" w:hAnsi="Google Sans Text"/>
          <w:color w:val="1f1f1f"/>
          <w:rtl w:val="0"/>
        </w:rPr>
        <w:t xml:space="preserve"> Egzogeninis insulinas, sušvirkštas poodyje, toliau rezorbuojasi į kraujotaką nepriklausomai nuo glikemijos lygio. Fizinis aktyvumas, didindamas poodinę kraujotaką ir temperatūrą, gali pagreitinti insulino absorbciją, sukeldamas jatrogeninę hiperinsulinemiją.</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Gliukagono Atsako Nepakankamumas:</w:t>
      </w:r>
      <w:r w:rsidDel="00000000" w:rsidR="00000000" w:rsidRPr="00000000">
        <w:rPr>
          <w:rFonts w:ascii="Google Sans Text" w:cs="Google Sans Text" w:eastAsia="Google Sans Text" w:hAnsi="Google Sans Text"/>
          <w:color w:val="1f1f1f"/>
          <w:rtl w:val="0"/>
        </w:rPr>
        <w:t xml:space="preserve"> Ilgiau sergant T1D, alfa ląstelių atsakas į hipoglikemiją dažnai susilpnėja, todėl kepenų gliukozės gamyba nepadidėja adekvačiai, kad kompensuotų padidėjusį periferinį sunaudojimą.</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GLUT4 Translokacija:</w:t>
      </w:r>
      <w:r w:rsidDel="00000000" w:rsidR="00000000" w:rsidRPr="00000000">
        <w:rPr>
          <w:rFonts w:ascii="Google Sans Text" w:cs="Google Sans Text" w:eastAsia="Google Sans Text" w:hAnsi="Google Sans Text"/>
          <w:color w:val="1f1f1f"/>
          <w:rtl w:val="0"/>
        </w:rPr>
        <w:t xml:space="preserve"> Raumenų susitraukimai stimuliuoja GLUT4 transporterių translokaciją į ląstelės membraną nepriklausomu nuo insulino mechanizmu (per AMPK aktyvaciją). Kai tai vyksta esant cirkuliuojančiam insulinui, gliukozės pasisavinimas tampa suminis, vedantis į greitą glikemijos kritimą.</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Tikslinės Glikemijos Ribos ir Priešstartiniai Protokolai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Saugios glikemijos ribos prieš startą priklauso nuo planuojamos veiklos trukmės, intensyvumo ir cirkuliuojančio insulino kiekio (Insulin on Board - IOB). ACSM ir ADA rekomendacijos pabrėžia, kad "normali" glikemija (5.0–6.0 mmol/L) ramybės būsenoje yra nepakankama pradedant krūvį dėl inercijos efekto.</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Priešstartinės Glikemijos Stratifikacija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Glikemija Prieš Startą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Veiksmo Protokolas (Aerobinis Krūvis)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Veiksmo Protokolas (Anaerobinis/Jėgos Krūvis)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&lt; 5.0 mmol/L</w:t>
            </w:r>
            <w:r w:rsidDel="00000000" w:rsidR="00000000" w:rsidRPr="00000000">
              <w:rPr>
                <w:rFonts w:ascii="Google Sans Text" w:cs="Google Sans Text" w:eastAsia="Google Sans Text" w:hAnsi="Google Sans Text"/>
                <w:color w:val="1f1f1f"/>
                <w:shd w:fill="auto" w:val="clear"/>
                <w:rtl w:val="0"/>
              </w:rPr>
              <w:t xml:space="preserve"> (&lt;90 mg/dL)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STOP.</w:t>
            </w:r>
            <w:r w:rsidDel="00000000" w:rsidR="00000000" w:rsidRPr="00000000">
              <w:rPr>
                <w:rFonts w:ascii="Google Sans Text" w:cs="Google Sans Text" w:eastAsia="Google Sans Text" w:hAnsi="Google Sans Text"/>
                <w:color w:val="1f1f1f"/>
                <w:shd w:fill="auto" w:val="clear"/>
                <w:rtl w:val="0"/>
              </w:rPr>
              <w:t xml:space="preserve"> Vartoti 15–30 g greitųjų angliavandenių. Startas atidedamas, kol gliukozė pakils &gt;5.6 mmol/L.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STOP.</w:t>
            </w:r>
            <w:r w:rsidDel="00000000" w:rsidR="00000000" w:rsidRPr="00000000">
              <w:rPr>
                <w:rFonts w:ascii="Google Sans Text" w:cs="Google Sans Text" w:eastAsia="Google Sans Text" w:hAnsi="Google Sans Text"/>
                <w:color w:val="1f1f1f"/>
                <w:shd w:fill="auto" w:val="clear"/>
                <w:rtl w:val="0"/>
              </w:rPr>
              <w:t xml:space="preserve"> Nors jėgos krūvis gali kelti glikemiją, startuoti esant hipoglikemijai yra nesaugu dėl neurokognityvinio sutrikimo rizikos.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5.0 – 6.9 mmol/L</w:t>
            </w:r>
            <w:r w:rsidDel="00000000" w:rsidR="00000000" w:rsidRPr="00000000">
              <w:rPr>
                <w:rFonts w:ascii="Google Sans Text" w:cs="Google Sans Text" w:eastAsia="Google Sans Text" w:hAnsi="Google Sans Text"/>
                <w:color w:val="1f1f1f"/>
                <w:shd w:fill="auto" w:val="clear"/>
                <w:rtl w:val="0"/>
              </w:rPr>
              <w:t xml:space="preserve"> (90–124 mg/dL)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Vartoti 10–20 g angliavandenių prieš startą. Jei krūvis truks &gt;60 min., mažinti pradinį insuliną.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Galima startuoti be papildomų angliavandenių, jei IOB (aktyvus insulinas) yra mažas. Stebėti glikemiją po apšilimo.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7.0 – 10.0 mmol/L</w:t>
            </w:r>
            <w:r w:rsidDel="00000000" w:rsidR="00000000" w:rsidRPr="00000000">
              <w:rPr>
                <w:rFonts w:ascii="Google Sans Text" w:cs="Google Sans Text" w:eastAsia="Google Sans Text" w:hAnsi="Google Sans Text"/>
                <w:color w:val="1f1f1f"/>
                <w:shd w:fill="auto" w:val="clear"/>
                <w:rtl w:val="0"/>
              </w:rPr>
              <w:t xml:space="preserve"> (126–180 mg/dL)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Optimali zona.</w:t>
            </w:r>
            <w:r w:rsidDel="00000000" w:rsidR="00000000" w:rsidRPr="00000000">
              <w:rPr>
                <w:rFonts w:ascii="Google Sans Text" w:cs="Google Sans Text" w:eastAsia="Google Sans Text" w:hAnsi="Google Sans Text"/>
                <w:color w:val="1f1f1f"/>
                <w:shd w:fill="auto" w:val="clear"/>
                <w:rtl w:val="0"/>
              </w:rPr>
              <w:t xml:space="preserve"> Papildomų angliavandenių nereikia trumpam krūviui (&lt;45 min). Ilgesniam krūviui vartoti pagal poreikį treniruotės metu.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Optimali zona.</w:t>
            </w:r>
            <w:r w:rsidDel="00000000" w:rsidR="00000000" w:rsidRPr="00000000">
              <w:rPr>
                <w:rFonts w:ascii="Google Sans Text" w:cs="Google Sans Text" w:eastAsia="Google Sans Text" w:hAnsi="Google Sans Text"/>
                <w:color w:val="1f1f1f"/>
                <w:shd w:fill="auto" w:val="clear"/>
                <w:rtl w:val="0"/>
              </w:rPr>
              <w:t xml:space="preserve"> Galima pradėti treniruotę be korekcijų.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10.1 – 13.9 mmol/L</w:t>
            </w:r>
            <w:r w:rsidDel="00000000" w:rsidR="00000000" w:rsidRPr="00000000">
              <w:rPr>
                <w:rFonts w:ascii="Google Sans Text" w:cs="Google Sans Text" w:eastAsia="Google Sans Text" w:hAnsi="Google Sans Text"/>
                <w:color w:val="1f1f1f"/>
                <w:shd w:fill="auto" w:val="clear"/>
                <w:rtl w:val="0"/>
              </w:rPr>
              <w:t xml:space="preserve"> (182–250 mg/dL)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Galima startuoti. Jei tai ištvermės krūvis, glikemija tikėtinai kris.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Galima startuoti, tačiau reikia būti budriam dėl galimo kilimo. Insulino korekcijos nerekomenduojamos.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&gt; 13.9 mmol/L</w:t>
            </w:r>
            <w:r w:rsidDel="00000000" w:rsidR="00000000" w:rsidRPr="00000000">
              <w:rPr>
                <w:rFonts w:ascii="Google Sans Text" w:cs="Google Sans Text" w:eastAsia="Google Sans Text" w:hAnsi="Google Sans Text"/>
                <w:color w:val="1f1f1f"/>
                <w:shd w:fill="auto" w:val="clear"/>
                <w:rtl w:val="0"/>
              </w:rPr>
              <w:t xml:space="preserve"> (&gt;250 mg/dL)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BŪTINA</w:t>
            </w:r>
            <w:r w:rsidDel="00000000" w:rsidR="00000000" w:rsidRPr="00000000">
              <w:rPr>
                <w:rFonts w:ascii="Google Sans Text" w:cs="Google Sans Text" w:eastAsia="Google Sans Text" w:hAnsi="Google Sans Text"/>
                <w:color w:val="1f1f1f"/>
                <w:shd w:fill="auto" w:val="clear"/>
                <w:rtl w:val="0"/>
              </w:rPr>
              <w:t xml:space="preserve"> patikrinti ketonus (kraujyje β-hidroksibutiratą arba šlapime).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BŪTINA</w:t>
            </w:r>
            <w:r w:rsidDel="00000000" w:rsidR="00000000" w:rsidRPr="00000000">
              <w:rPr>
                <w:rFonts w:ascii="Google Sans Text" w:cs="Google Sans Text" w:eastAsia="Google Sans Text" w:hAnsi="Google Sans Text"/>
                <w:color w:val="1f1f1f"/>
                <w:shd w:fill="auto" w:val="clear"/>
                <w:rtl w:val="0"/>
              </w:rPr>
              <w:t xml:space="preserve"> patikrinti ketonus.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Ketonai teigiami</w:t>
            </w:r>
            <w:r w:rsidDel="00000000" w:rsidR="00000000" w:rsidRPr="00000000">
              <w:rPr>
                <w:rFonts w:ascii="Google Sans Text" w:cs="Google Sans Text" w:eastAsia="Google Sans Text" w:hAnsi="Google Sans Text"/>
                <w:color w:val="1f1f1f"/>
                <w:shd w:fill="auto" w:val="clear"/>
                <w:rtl w:val="0"/>
              </w:rPr>
              <w:t xml:space="preserve"> (≥1.5 mmol/L)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NUTRAUKTI</w:t>
            </w:r>
            <w:r w:rsidDel="00000000" w:rsidR="00000000" w:rsidRPr="00000000">
              <w:rPr>
                <w:rFonts w:ascii="Google Sans Text" w:cs="Google Sans Text" w:eastAsia="Google Sans Text" w:hAnsi="Google Sans Text"/>
                <w:color w:val="1f1f1f"/>
                <w:shd w:fill="auto" w:val="clear"/>
                <w:rtl w:val="0"/>
              </w:rPr>
              <w:t xml:space="preserve"> bet kokį krūvį. Rizika provokuoti Diabetinę Ketoacidozę (DKA). Reikalinga insulino korekcija ir hidratacija.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NUTRAUKTI</w:t>
            </w:r>
            <w:r w:rsidDel="00000000" w:rsidR="00000000" w:rsidRPr="00000000">
              <w:rPr>
                <w:rFonts w:ascii="Google Sans Text" w:cs="Google Sans Text" w:eastAsia="Google Sans Text" w:hAnsi="Google Sans Text"/>
                <w:color w:val="1f1f1f"/>
                <w:shd w:fill="auto" w:val="clear"/>
                <w:rtl w:val="0"/>
              </w:rPr>
              <w:t xml:space="preserve"> krūvį.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Ketonai neigiami</w:t>
            </w:r>
            <w:r w:rsidDel="00000000" w:rsidR="00000000" w:rsidRPr="00000000">
              <w:rPr>
                <w:rFonts w:ascii="Google Sans Text" w:cs="Google Sans Text" w:eastAsia="Google Sans Text" w:hAnsi="Google Sans Text"/>
                <w:color w:val="1f1f1f"/>
                <w:shd w:fill="auto" w:val="clear"/>
                <w:rtl w:val="0"/>
              </w:rPr>
              <w:t xml:space="preserve"> (&lt;0.6 mmol/L)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Galima sportuoti, tačiau intensyvumas turi būti lengvas/vidutinis. Glikemija turėtų kristi.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Galima sportuoti atsargiai. Vengti maksimalaus intensyvumo, kol glikemija nesumažės.</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Klinikinis niuansas:</w:t>
      </w:r>
      <w:r w:rsidDel="00000000" w:rsidR="00000000" w:rsidRPr="00000000">
        <w:rPr>
          <w:rFonts w:ascii="Google Sans Text" w:cs="Google Sans Text" w:eastAsia="Google Sans Text" w:hAnsi="Google Sans Text"/>
          <w:color w:val="1f1f1f"/>
          <w:rtl w:val="0"/>
        </w:rPr>
        <w:t xml:space="preserve"> Naudojant automatines insulino tiekimo sistemas (AID), rekomenduojama nustatyti laikiną tikslą (pvz., 8.3 mmol/L) likus 60–90 min. iki krūvio, kad sistema spėtų sumažinti bazinį insuliną ir sumažintų IOB starto metu.</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Insulino Terapijos Modifikavimas: Ištvermė prieš Jėgą</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Insulino dozavimo strategija radikaliai skiriasi priklausomai nuo to, ar dominuoja aerobinis, ar anaerobinis metabolizmas.</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Ištvermės (Aerobinis) Krūvis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Esant ilgalaikiam, vidutinio intensyvumo krūviui, pagrindinis kuras yra gliukozė ir laisvosios riebalų rūgštys. Insulinas slopina lipolizę, todėl jo perteklius verčia raumenis naudoti tik gliukozę, greitai išsekinant glikogeną ir sukeliant hipoglikemiją.</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Protokolas: Greito Veikimo (Bolus) Insulino Mažinimas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Jei valgoma likus 90–120 min. iki treniruotės, pradinė insulino dozė turi būti mažinama:</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Treniruotės Trukmė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Mažas Intensyvumas (25-50% VO2max)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Vidutinis Intensyvumas (50-75% VO2max)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Didelis Intensyvumas (&gt;75% VO2max)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60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10–20%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30–50%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50–75%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90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15–30%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40–60%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60–80%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120+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20–40%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50–70%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70–90%</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Šaltinis: Adaptuota pagal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Bazinio Insulino (Basal) Korekcija: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Insulino pompų naudotojams rekomenduojama sumažinti bazinę normą 50–80% likus 60–90 min. iki krūvio. Visiškas pompos atjungimas (&gt;60 min.) nerekomenduojamas dėl rizikos išsivystyti insulino trūkumui ir ketozei po krūvio.</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Jėgos ir Aukšto Intensyvumo (Anaerobinis) Krūvis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Jėgos pratimai, sprintai ar CrossFit tipo treniruotės sukelia stiprų adrenerginį atsaką. Katecholaminai (adrenalinas, noradrenalinas) skatina kepenų gliukozės gamybą, kuri dažnai viršija raumenų sunaudojimo greitį, todėl glikemija </w:t>
      </w:r>
      <w:r w:rsidDel="00000000" w:rsidR="00000000" w:rsidRPr="00000000">
        <w:rPr>
          <w:rFonts w:ascii="Google Sans Text" w:cs="Google Sans Text" w:eastAsia="Google Sans Text" w:hAnsi="Google Sans Text"/>
          <w:b w:val="1"/>
          <w:bCs w:val="1"/>
          <w:color w:val="1f1f1f"/>
          <w:rtl w:val="0"/>
        </w:rPr>
        <w:t xml:space="preserve">kyla</w:t>
      </w:r>
      <w:r w:rsidDel="00000000" w:rsidR="00000000" w:rsidRPr="00000000">
        <w:rPr>
          <w:rFonts w:ascii="Google Sans Text" w:cs="Google Sans Text" w:eastAsia="Google Sans Text" w:hAnsi="Google Sans Text"/>
          <w:color w:val="1f1f1f"/>
          <w:rtl w:val="0"/>
        </w:rPr>
        <w:t xml:space="preserve"> arba išlieka stabili.</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Protokolas: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Prieš krūvį:</w:t>
      </w:r>
      <w:r w:rsidDel="00000000" w:rsidR="00000000" w:rsidRPr="00000000">
        <w:rPr>
          <w:rFonts w:ascii="Google Sans Text" w:cs="Google Sans Text" w:eastAsia="Google Sans Text" w:hAnsi="Google Sans Text"/>
          <w:color w:val="1f1f1f"/>
          <w:rtl w:val="0"/>
        </w:rPr>
        <w:t xml:space="preserve"> Insulino dozės mažinti nereikia arba mažinama minimaliai (pvz., 10-20%), nebent IOB yra labai didelis.</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Po krūvio (Hiperglikemija):</w:t>
      </w:r>
      <w:r w:rsidDel="00000000" w:rsidR="00000000" w:rsidRPr="00000000">
        <w:rPr>
          <w:rFonts w:ascii="Google Sans Text" w:cs="Google Sans Text" w:eastAsia="Google Sans Text" w:hAnsi="Google Sans Text"/>
          <w:color w:val="1f1f1f"/>
          <w:rtl w:val="0"/>
        </w:rPr>
        <w:t xml:space="preserve"> Dažnai stebima praeinanti hiperglikemija.</w:t>
      </w:r>
    </w:p>
    <w:p w:rsidR="00000000" w:rsidDel="00000000" w:rsidP="00000000" w:rsidRDefault="00000000" w:rsidRPr="00000000" w14:paraId="00000047">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Korekcija:</w:t>
      </w:r>
      <w:r w:rsidDel="00000000" w:rsidR="00000000" w:rsidRPr="00000000">
        <w:rPr>
          <w:rFonts w:ascii="Google Sans Text" w:cs="Google Sans Text" w:eastAsia="Google Sans Text" w:hAnsi="Google Sans Text"/>
          <w:color w:val="1f1f1f"/>
          <w:rtl w:val="0"/>
        </w:rPr>
        <w:t xml:space="preserve"> Vengti pilnos korekcinės insulino dozės. Rekomenduojama naudoti </w:t>
      </w:r>
      <w:r w:rsidDel="00000000" w:rsidR="00000000" w:rsidRPr="00000000">
        <w:rPr>
          <w:rFonts w:ascii="Google Sans Text" w:cs="Google Sans Text" w:eastAsia="Google Sans Text" w:hAnsi="Google Sans Text"/>
          <w:b w:val="1"/>
          <w:bCs w:val="1"/>
          <w:color w:val="1f1f1f"/>
          <w:rtl w:val="0"/>
        </w:rPr>
        <w:t xml:space="preserve">50% įprastos korekcijos faktoriaus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Priežastis:</w:t>
      </w:r>
      <w:r w:rsidDel="00000000" w:rsidR="00000000" w:rsidRPr="00000000">
        <w:rPr>
          <w:rFonts w:ascii="Google Sans Text" w:cs="Google Sans Text" w:eastAsia="Google Sans Text" w:hAnsi="Google Sans Text"/>
          <w:color w:val="1f1f1f"/>
          <w:rtl w:val="0"/>
        </w:rPr>
        <w:t xml:space="preserve"> Po krūvio padidėjęs jautrumas insulinui išlieka keletą valandų. Pilna dozė dažnai sukelia vėlyvąją hipoglikemiją.</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Metabolinis Atvėsimas:</w:t>
      </w:r>
      <w:r w:rsidDel="00000000" w:rsidR="00000000" w:rsidRPr="00000000">
        <w:rPr>
          <w:rFonts w:ascii="Google Sans Text" w:cs="Google Sans Text" w:eastAsia="Google Sans Text" w:hAnsi="Google Sans Text"/>
          <w:color w:val="1f1f1f"/>
          <w:rtl w:val="0"/>
        </w:rPr>
        <w:t xml:space="preserve"> Tyrimai rodo, kad atlikus 20 min. lengvą aerobinį atvėsimą po jėgos treniruotės, gliukozės lygis normalizuojasi greičiau be papildomo insulino.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Treniruočių Eiliškumas: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Atliekant mišrią treniruotę, rekomenduojama atlikti jėgos pratimus prieš aerobiką.5 Tai padeda stabilizuoti gliukozę: jėgos dalis pakelia gliukozę, o vėlesnė aerobinė dalis ją sunaudoja, taip sumažinant hipoglikemijos riziką treniruotės pabaigoje ir naktį.</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Ūminės Hipoglikemijos Valdymas: "Rescue Carbs" Strategijos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Hipoglikemija (&lt;3.9 mmol/L) yra metabolinė krizė, reikalaujanti nedelsiamo veikimo. Protokolai skiriasi priklausomai nuo situacijos.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Standartinis "15-15" Protokolas (Kai IOB normalus):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Vartoti 15 g greitųjų angliavandenių (GI &gt; 70), laukti 15 min., tikrinti gliukozę. Kartoti, jei nepasiekta &gt;3.9 mmol/L.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Agresyvus Protokolas (Esant hiperinsulinemijai):</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Jei hipoglikemija įvyksta esant dideliam aktyvaus insulino kiekiui (pvz., &lt;2 val. po valgio), kepenų gliukozės gamyba yra visiškai užblokuota. Tokiu atveju gali prireikti 30–60 g angliavandenių per valandą ar daugiau, kad būtų kompensuotas insulino veikimas.4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"Rescue Carbs" Pasirinkimai ir Dozavimas (15 g ekvivalentai)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Šaltinis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Kiekis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Absorbcijos Greitis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Pastabos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Gliukozės tabletės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3–4 vnt.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Labai greitas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Tiksliausias dozavimas. Sudėtis: dekstrozė.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Sportinis gelis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 pakuotės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Greitas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Būtina užsigerti vandeniu, kad pasiektų skrandį.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Vaisių sultys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120–150 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Greitas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Vengti skaidulinių sulčių, lėtina pasisavinimą.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Saldūs gėrimai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150 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Greitas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Geriausia be kofeino ir be riebalų (ne šokoladinis pienas).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Bananas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 didelio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Vidutinis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Tinka lengvai hipoglikemijai (3.9–4.5 mmol/L).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Guminukai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5–7 vnt.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Greitas/Vidutinis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Reikia gerai sukramtyti.</w:t>
            </w:r>
          </w:p>
        </w:tc>
      </w:tr>
    </w:tbl>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II Tipo Diabetas (T2D): Farmakologiniai Iššūkiai ir Saugumas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Nors T2D pacientai rečiau patiria hipoglikemiją dėl išlikusios dalinės endogeninio insulino reguliacijos ir atsparumo insulinui, tam tikros vaistų grupės reikalauja specifinių protokolų.</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Medikamentų Sąveika su Fiziniu Krūviu</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Maža rizika:</w:t>
      </w:r>
      <w:r w:rsidDel="00000000" w:rsidR="00000000" w:rsidRPr="00000000">
        <w:rPr>
          <w:rFonts w:ascii="Google Sans Text" w:cs="Google Sans Text" w:eastAsia="Google Sans Text" w:hAnsi="Google Sans Text"/>
          <w:color w:val="1f1f1f"/>
          <w:rtl w:val="0"/>
        </w:rPr>
        <w:t xml:space="preserve"> Metforminas, DPP-4 inhibitoriai (Sitagliptinas), GLP-1 agonistai (Semagliutidas). Šie vaistai veikia priklausomai nuo gliukozės arba nekeičia insulino sekrecijos, todėl hipoglikemijos rizika krūvio metu yra minimali. Dozių korekcija nereikalinga.</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Vidutinė/Didelė rizika:</w:t>
      </w:r>
      <w:r w:rsidDel="00000000" w:rsidR="00000000" w:rsidRPr="00000000">
        <w:rPr>
          <w:rFonts w:ascii="Google Sans Text" w:cs="Google Sans Text" w:eastAsia="Google Sans Text" w:hAnsi="Google Sans Text"/>
          <w:color w:val="1f1f1f"/>
          <w:rtl w:val="0"/>
        </w:rPr>
        <w:t xml:space="preserve"> Sulfonilkarbamidai (Gliklazidas, Glimepiridas) ir Glinidai. Šie vaistai tiesiogiai stimuliuoja insulino sekreciją.</w:t>
      </w:r>
    </w:p>
    <w:p w:rsidR="00000000" w:rsidDel="00000000" w:rsidP="00000000" w:rsidRDefault="00000000" w:rsidRPr="00000000" w14:paraId="00000077">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Veiksmas:</w:t>
      </w:r>
      <w:r w:rsidDel="00000000" w:rsidR="00000000" w:rsidRPr="00000000">
        <w:rPr>
          <w:rFonts w:ascii="Google Sans Text" w:cs="Google Sans Text" w:eastAsia="Google Sans Text" w:hAnsi="Google Sans Text"/>
          <w:color w:val="1f1f1f"/>
          <w:rtl w:val="0"/>
        </w:rPr>
        <w:t xml:space="preserve"> Ilgų treniruočių dienomis rekomenduojama praleisti rytinę dozę arba ją sumažinti, kad būtų išvengta hipoglikemijos.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SGLT2 Inhibitoriai ir Euglikeminės Ketoacidozės Rizika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SGLT2 inhibitoriai (Empagliflozinas, Dapagliflozinas) yra revoliuciniai vaistai širdies ir inkstų apsaugai, tačiau ištvermės sporte jie kelia unikalų pavojų – </w:t>
      </w:r>
      <w:r w:rsidDel="00000000" w:rsidR="00000000" w:rsidRPr="00000000">
        <w:rPr>
          <w:rFonts w:ascii="Google Sans Text" w:cs="Google Sans Text" w:eastAsia="Google Sans Text" w:hAnsi="Google Sans Text"/>
          <w:b w:val="1"/>
          <w:bCs w:val="1"/>
          <w:color w:val="1f1f1f"/>
          <w:rtl w:val="0"/>
        </w:rPr>
        <w:t xml:space="preserve">Euglikeminę Diabetinę Ketoacidozę (euDKA)</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Patofiziologija: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Fizinio krūvio metu SGLT2 inhibitoriai toliau skatina gliukozuriją (cukraus išskyrimą su šlapimu), net jei kraujo gliukozė yra normali. Tai sumažina insulino sekreciją ir padidina gliukagono lygį, skatindama ketogenezę. Rezultatas: sportininkas gali turėti pavojingą ketonų kiekį kraujyje, tačiau gliukozė bus normali (&lt;11 mmol/L), todėl diagnozė dažnai vėluoja.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Saugumo Protokolas Sportininkams:</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Nutraukimas:</w:t>
      </w:r>
      <w:r w:rsidDel="00000000" w:rsidR="00000000" w:rsidRPr="00000000">
        <w:rPr>
          <w:rFonts w:ascii="Google Sans Text" w:cs="Google Sans Text" w:eastAsia="Google Sans Text" w:hAnsi="Google Sans Text"/>
          <w:color w:val="1f1f1f"/>
          <w:rtl w:val="0"/>
        </w:rPr>
        <w:t xml:space="preserve"> Rekomenduojama </w:t>
      </w:r>
      <w:r w:rsidDel="00000000" w:rsidR="00000000" w:rsidRPr="00000000">
        <w:rPr>
          <w:rFonts w:ascii="Google Sans Text" w:cs="Google Sans Text" w:eastAsia="Google Sans Text" w:hAnsi="Google Sans Text"/>
          <w:b w:val="1"/>
          <w:bCs w:val="1"/>
          <w:color w:val="1f1f1f"/>
          <w:rtl w:val="0"/>
        </w:rPr>
        <w:t xml:space="preserve">nutraukti SGLT2 inhibitorių vartojimą likus 3–4 dienoms</w:t>
      </w:r>
      <w:r w:rsidDel="00000000" w:rsidR="00000000" w:rsidRPr="00000000">
        <w:rPr>
          <w:rFonts w:ascii="Google Sans Text" w:cs="Google Sans Text" w:eastAsia="Google Sans Text" w:hAnsi="Google Sans Text"/>
          <w:color w:val="1f1f1f"/>
          <w:rtl w:val="0"/>
        </w:rPr>
        <w:t xml:space="preserve"> (arba bent 24–48 val., priklausomai nuo specifinio vaisto pusėjimo periodo ir gydytojo nurodymo) iki maratono, triatlono ar kito ekstremalaus ištvermės krūvio.</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Simptomų stebėsena:</w:t>
      </w:r>
      <w:r w:rsidDel="00000000" w:rsidR="00000000" w:rsidRPr="00000000">
        <w:rPr>
          <w:rFonts w:ascii="Google Sans Text" w:cs="Google Sans Text" w:eastAsia="Google Sans Text" w:hAnsi="Google Sans Text"/>
          <w:color w:val="1f1f1f"/>
          <w:rtl w:val="0"/>
        </w:rPr>
        <w:t xml:space="preserve"> Jei sportininkas jaučia nepaaiškinamą nuovargį, pykinimą ar pilvo skausmą krūvio metu, būtina tikrinti ketonus, nepriklausomai nuo gliukozės lygio.</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Hidratacija:</w:t>
      </w:r>
      <w:r w:rsidDel="00000000" w:rsidR="00000000" w:rsidRPr="00000000">
        <w:rPr>
          <w:rFonts w:ascii="Google Sans Text" w:cs="Google Sans Text" w:eastAsia="Google Sans Text" w:hAnsi="Google Sans Text"/>
          <w:color w:val="1f1f1f"/>
          <w:rtl w:val="0"/>
        </w:rPr>
        <w:t xml:space="preserve"> Šie vaistai veikia kaip osmotiški diuretikai, todėl dehidratacijos rizika yra padidėjusi.</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Santykinis Energijos Trūkumas Sporte (RED-S): Sisteminė Analizė</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RED-S (Relative Energy Deficiency in Sport) yra sindromas, atsirandantis dėl nuolatinio ar sunkaus energijos trūkumo, kai suvartojama energija nepadengia energijos sąnaudų treniruotėse, paliekant nepakankamai energijos bazinėms fiziologinėms funkcijoms.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Nuo "Moterų Triados" iki RED-S: Paradigmos Pokytis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Anksčiau naudotas terminas "Moterų atlečių triada" (Valgymo sutrikimai, Amenorėja, Osteoporozė) buvo išplėstas iki RED-S, pripažįstant, kad:</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Tai paveikia ir vyrus (pvz., sumažėjęs testosteronas, libido).</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Poveikis yra sisteminis: apima ne tik kaulus ir reprodukciją, bet ir imunitetą (dažnos infekcijos), virškinimą, hematologiją (mažakraujystė), baltymų sintezę ir psichologinę sveikatą.</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Energijos Prieinamumas (EA): Diagnostika ir Ribos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Diagnostikos pagrindas yra Energijos Prieinamumo (Energy Availability - EA) apskaičiavimas.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Formulė:</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$$EA = \frac{\text{Energijos Suvartojimas (kcal)} - \text{Treniruotės Energijos Išeikvojimas (EEE)}}{\text{Liesa Kūno Masė (kg FFM)}}$$</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Kritinės Ribos ir Veiksmų Planas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EA (kcal/kg FFM/d)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Fiziologinė Būsena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Veiksmas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&gt; 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Optimali.</w:t>
            </w:r>
            <w:r w:rsidDel="00000000" w:rsidR="00000000" w:rsidRPr="00000000">
              <w:rPr>
                <w:rFonts w:ascii="Google Sans Text" w:cs="Google Sans Text" w:eastAsia="Google Sans Text" w:hAnsi="Google Sans Text"/>
                <w:color w:val="1f1f1f"/>
                <w:shd w:fill="auto" w:val="clear"/>
                <w:rtl w:val="0"/>
              </w:rPr>
              <w:t xml:space="preserve"> Palaikoma normali hormoninė funkcija, kaulų apykaita.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Palaikyti esamą mitybos planą.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30 – 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Subklinikinis trūkumas.</w:t>
            </w:r>
            <w:r w:rsidDel="00000000" w:rsidR="00000000" w:rsidRPr="00000000">
              <w:rPr>
                <w:rFonts w:ascii="Google Sans Text" w:cs="Google Sans Text" w:eastAsia="Google Sans Text" w:hAnsi="Google Sans Text"/>
                <w:color w:val="1f1f1f"/>
                <w:shd w:fill="auto" w:val="clear"/>
                <w:rtl w:val="0"/>
              </w:rPr>
              <w:t xml:space="preserve"> Gali būti toleruojama trumpą laiką (pvz., svorio metimo etapu), tačiau ilgalaikėje perspektyvoje rizikinga.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Stebėti nuovargio, miego ir menstruacijų rodiklius. Nerekomenduojama ilgiau nei kelias savaites.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&lt;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Kritiškai žema (Low EA).</w:t>
            </w:r>
            <w:r w:rsidDel="00000000" w:rsidR="00000000" w:rsidRPr="00000000">
              <w:rPr>
                <w:rFonts w:ascii="Google Sans Text" w:cs="Google Sans Text" w:eastAsia="Google Sans Text" w:hAnsi="Google Sans Text"/>
                <w:color w:val="1f1f1f"/>
                <w:shd w:fill="auto" w:val="clear"/>
                <w:rtl w:val="0"/>
              </w:rPr>
              <w:t xml:space="preserve"> Hormoninė disfunkcija (LH pulsiškumo slopinimas), kaulų rezorbcijos aktyvacija, metabolizmo sulėtėjimas.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Privaloma intervencija.</w:t>
            </w:r>
            <w:r w:rsidDel="00000000" w:rsidR="00000000" w:rsidRPr="00000000">
              <w:rPr>
                <w:rFonts w:ascii="Google Sans Text" w:cs="Google Sans Text" w:eastAsia="Google Sans Text" w:hAnsi="Google Sans Text"/>
                <w:color w:val="1f1f1f"/>
                <w:shd w:fill="auto" w:val="clear"/>
                <w:rtl w:val="0"/>
              </w:rPr>
              <w:t xml:space="preserve"> Didinti kalorijų kiekį ir/arba mažinti krūvį.</w:t>
            </w:r>
          </w:p>
        </w:tc>
      </w:tr>
    </w:tbl>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Reprodukcinės Funkcijos Atstatymas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Funkcinė Pagumburio Amenorėja (FHA) yra dažniausia RED-S pasekmė moterims. Jos gydymas reikalauja kantrybės ir nuoseklios mitybos terapijos.</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Energijos Tikslas:</w:t>
      </w:r>
      <w:r w:rsidDel="00000000" w:rsidR="00000000" w:rsidRPr="00000000">
        <w:rPr>
          <w:rFonts w:ascii="Google Sans Text" w:cs="Google Sans Text" w:eastAsia="Google Sans Text" w:hAnsi="Google Sans Text"/>
          <w:color w:val="1f1f1f"/>
          <w:rtl w:val="0"/>
        </w:rPr>
        <w:t xml:space="preserve"> Siekti </w:t>
      </w:r>
      <w:r w:rsidDel="00000000" w:rsidR="00000000" w:rsidRPr="00000000">
        <w:rPr>
          <w:rFonts w:ascii="Google Sans Text" w:cs="Google Sans Text" w:eastAsia="Google Sans Text" w:hAnsi="Google Sans Text"/>
          <w:b w:val="1"/>
          <w:bCs w:val="1"/>
          <w:color w:val="1f1f1f"/>
          <w:rtl w:val="0"/>
        </w:rPr>
        <w:t xml:space="preserve">&gt; 45 kcal/kg FFM/dieną</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Svorio faktorius:</w:t>
      </w:r>
      <w:r w:rsidDel="00000000" w:rsidR="00000000" w:rsidRPr="00000000">
        <w:rPr>
          <w:rFonts w:ascii="Google Sans Text" w:cs="Google Sans Text" w:eastAsia="Google Sans Text" w:hAnsi="Google Sans Text"/>
          <w:color w:val="1f1f1f"/>
          <w:rtl w:val="0"/>
        </w:rPr>
        <w:t xml:space="preserve"> Tyrimai rodo, kad norint atstatyti menstruacijas, dažnai neužtenka tik padidinti EA; neretai reikia priaugti svorio iki lygio, buvusio prieš amenorėją. Nėra universalios kūno riebalų normos, tačiau dažnai reikia pasiekti &gt;22% riebalų masės, kad HPA (pagumburio-hipofizės-kiaušidžių) ašis "atsirakintų".</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Laiko skalė:</w:t>
      </w:r>
      <w:r w:rsidDel="00000000" w:rsidR="00000000" w:rsidRPr="00000000">
        <w:rPr>
          <w:rFonts w:ascii="Google Sans Text" w:cs="Google Sans Text" w:eastAsia="Google Sans Text" w:hAnsi="Google Sans Text"/>
          <w:color w:val="1f1f1f"/>
          <w:rtl w:val="0"/>
        </w:rPr>
        <w:t xml:space="preserve"> Menstruacijų atsinaujinimas vėluoja. Hormonai gali normalizuotis per kelias savaites, tačiau ciklas gali grįžti tik po </w:t>
      </w:r>
      <w:r w:rsidDel="00000000" w:rsidR="00000000" w:rsidRPr="00000000">
        <w:rPr>
          <w:rFonts w:ascii="Google Sans Text" w:cs="Google Sans Text" w:eastAsia="Google Sans Text" w:hAnsi="Google Sans Text"/>
          <w:b w:val="1"/>
          <w:bCs w:val="1"/>
          <w:color w:val="1f1f1f"/>
          <w:rtl w:val="0"/>
        </w:rPr>
        <w:t xml:space="preserve">3–12 mėnesių</w:t>
      </w:r>
      <w:r w:rsidDel="00000000" w:rsidR="00000000" w:rsidRPr="00000000">
        <w:rPr>
          <w:rFonts w:ascii="Google Sans Text" w:cs="Google Sans Text" w:eastAsia="Google Sans Text" w:hAnsi="Google Sans Text"/>
          <w:color w:val="1f1f1f"/>
          <w:rtl w:val="0"/>
        </w:rPr>
        <w:t xml:space="preserve"> stabilaus energijos balanso.</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Kaulų Sveikatos Optimizavimas ir Stresinių Lūžių Gydymas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Kaulų sveikata RED-S atveju kenčia dvigubai: dėl energijos trūkumo (slopinamas kaulų formavimosi žymuo P1NP) ir dėl estrogeno/testosterono trūkumo (aktyvuojama kaulų rezorbcija).</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Kaulų Metabolizmo Patofiziologija esant LEA</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Esant energijos stygiui, sumažėja IGF-1 ir leptino lygis, o padidėja kortizolis. Estrogeno trūkumas pašalina natūralų "stabdį" osteoklastams (kaulą ardantiems ląstelėms). Rezultatas – progresuojanti osteopenija ir padidėjusi stresinių lūžių (mikro-traumų kaupimosi) rizika.</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Mitybos Intervencijos: Kalcis, Vitaminas D ir Mikroelementai</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Mitybos strategija esant lūžiams ar profilaktikai turi būti agresyvesnė nei bendros populiacijos rekomendacijos.</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Vitaminas D (25(OH)D) Protokolas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Vitaminas D yra būtinas kalcio absorbcijai. Sportininkams tikslinė riba kraujyje yra aukštesnė nei sėdimą darbą dirbantiems.</w:t>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Tikslas:</w:t>
      </w:r>
      <w:r w:rsidDel="00000000" w:rsidR="00000000" w:rsidRPr="00000000">
        <w:rPr>
          <w:rFonts w:ascii="Google Sans Text" w:cs="Google Sans Text" w:eastAsia="Google Sans Text" w:hAnsi="Google Sans Text"/>
          <w:color w:val="1f1f1f"/>
          <w:rtl w:val="0"/>
        </w:rPr>
        <w:t xml:space="preserve"> &gt; 40–50 ng/mL (&gt;100–125 nmol/L).</w:t>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Loading Dose (Esant trūkumui &lt;30 ng/mL):</w:t>
      </w:r>
      <w:r w:rsidDel="00000000" w:rsidR="00000000" w:rsidRPr="00000000">
        <w:rPr>
          <w:rFonts w:ascii="Google Sans Text" w:cs="Google Sans Text" w:eastAsia="Google Sans Text" w:hAnsi="Google Sans Text"/>
          <w:color w:val="1f1f1f"/>
          <w:rtl w:val="0"/>
        </w:rPr>
        <w:t xml:space="preserve"> Tyrimai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rekomenduoja protokolą: </w:t>
      </w:r>
      <w:r w:rsidDel="00000000" w:rsidR="00000000" w:rsidRPr="00000000">
        <w:rPr>
          <w:rFonts w:ascii="Google Sans Text" w:cs="Google Sans Text" w:eastAsia="Google Sans Text" w:hAnsi="Google Sans Text"/>
          <w:b w:val="1"/>
          <w:bCs w:val="1"/>
          <w:color w:val="1f1f1f"/>
          <w:rtl w:val="0"/>
        </w:rPr>
        <w:t xml:space="preserve">50,000 TV (IU) vieną kartą per savaitę, 8 savaites</w:t>
      </w:r>
      <w:r w:rsidDel="00000000" w:rsidR="00000000" w:rsidRPr="00000000">
        <w:rPr>
          <w:rFonts w:ascii="Google Sans Text" w:cs="Google Sans Text" w:eastAsia="Google Sans Text" w:hAnsi="Google Sans Text"/>
          <w:color w:val="1f1f1f"/>
          <w:rtl w:val="0"/>
        </w:rPr>
        <w:t xml:space="preserve">. Po to pereiti prie palaikomosios dozės.</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Palaikomoji dozė:</w:t>
      </w:r>
      <w:r w:rsidDel="00000000" w:rsidR="00000000" w:rsidRPr="00000000">
        <w:rPr>
          <w:rFonts w:ascii="Google Sans Text" w:cs="Google Sans Text" w:eastAsia="Google Sans Text" w:hAnsi="Google Sans Text"/>
          <w:color w:val="1f1f1f"/>
          <w:rtl w:val="0"/>
        </w:rPr>
        <w:t xml:space="preserve"> 1000–2000 TV/dieną, priklausomai nuo sezono ir gyvenamosios vietos.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Kalcio Protokolas</w:t>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Dozė:</w:t>
      </w:r>
      <w:r w:rsidDel="00000000" w:rsidR="00000000" w:rsidRPr="00000000">
        <w:rPr>
          <w:rFonts w:ascii="Google Sans Text" w:cs="Google Sans Text" w:eastAsia="Google Sans Text" w:hAnsi="Google Sans Text"/>
          <w:color w:val="1f1f1f"/>
          <w:rtl w:val="0"/>
        </w:rPr>
        <w:t xml:space="preserve"> Sportininkėms su amenorėja ar stresiniais lūžiais rekomenduojama </w:t>
      </w:r>
      <w:r w:rsidDel="00000000" w:rsidR="00000000" w:rsidRPr="00000000">
        <w:rPr>
          <w:rFonts w:ascii="Google Sans Text" w:cs="Google Sans Text" w:eastAsia="Google Sans Text" w:hAnsi="Google Sans Text"/>
          <w:b w:val="1"/>
          <w:bCs w:val="1"/>
          <w:color w:val="1f1f1f"/>
          <w:rtl w:val="0"/>
        </w:rPr>
        <w:t xml:space="preserve">1500 mg per dieną</w:t>
      </w:r>
      <w:r w:rsidDel="00000000" w:rsidR="00000000" w:rsidRPr="00000000">
        <w:rPr>
          <w:rFonts w:ascii="Google Sans Text" w:cs="Google Sans Text" w:eastAsia="Google Sans Text" w:hAnsi="Google Sans Text"/>
          <w:color w:val="1f1f1f"/>
          <w:rtl w:val="0"/>
        </w:rPr>
        <w:t xml:space="preserve"> (maistas + papildai).</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Šaltinis:</w:t>
      </w:r>
      <w:r w:rsidDel="00000000" w:rsidR="00000000" w:rsidRPr="00000000">
        <w:rPr>
          <w:rFonts w:ascii="Google Sans Text" w:cs="Google Sans Text" w:eastAsia="Google Sans Text" w:hAnsi="Google Sans Text"/>
          <w:color w:val="1f1f1f"/>
          <w:rtl w:val="0"/>
        </w:rPr>
        <w:t xml:space="preserve"> Pirmenybė maistui (pienas, jogurtas, sūris), nes pieno baltymų matrica gerina pasisavinimą. Papildus (karbonatą ar citratą) vartoti po 500 mg, nes didesnės vienkartinės dozės pasisavinamos prasčiau.</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Farmakologinės Kontraindikacijos ir Alternatyvos</w:t>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Bisfosfonatai:</w:t>
      </w:r>
      <w:r w:rsidDel="00000000" w:rsidR="00000000" w:rsidRPr="00000000">
        <w:rPr>
          <w:rFonts w:ascii="Google Sans Text" w:cs="Google Sans Text" w:eastAsia="Google Sans Text" w:hAnsi="Google Sans Text"/>
          <w:color w:val="1f1f1f"/>
          <w:rtl w:val="0"/>
        </w:rPr>
        <w:t xml:space="preserve"> Šie vaistai (pvz., Alendronatas), naudojami senyvų žmonių osteoporozei, yra </w:t>
      </w:r>
      <w:r w:rsidDel="00000000" w:rsidR="00000000" w:rsidRPr="00000000">
        <w:rPr>
          <w:rFonts w:ascii="Google Sans Text" w:cs="Google Sans Text" w:eastAsia="Google Sans Text" w:hAnsi="Google Sans Text"/>
          <w:b w:val="1"/>
          <w:bCs w:val="1"/>
          <w:color w:val="1f1f1f"/>
          <w:rtl w:val="0"/>
        </w:rPr>
        <w:t xml:space="preserve">kontraindikuotini</w:t>
      </w:r>
      <w:r w:rsidDel="00000000" w:rsidR="00000000" w:rsidRPr="00000000">
        <w:rPr>
          <w:rFonts w:ascii="Google Sans Text" w:cs="Google Sans Text" w:eastAsia="Google Sans Text" w:hAnsi="Google Sans Text"/>
          <w:color w:val="1f1f1f"/>
          <w:rtl w:val="0"/>
        </w:rPr>
        <w:t xml:space="preserve"> vaisingo amžiaus sportininkėms (nebent situacija kritinė), nes jie kaupiasi kauluose daugelį metų ir turi teratogeninį poveikį (gali pakenkti vaisiui ateityje).</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Be to, jie slopina kaulų apykaitą, kas gali trukdyti mikrolūžių gijimui.</w:t>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Oraliniai Kontraceptikai (OCP):</w:t>
      </w:r>
      <w:r w:rsidDel="00000000" w:rsidR="00000000" w:rsidRPr="00000000">
        <w:rPr>
          <w:rFonts w:ascii="Google Sans Text" w:cs="Google Sans Text" w:eastAsia="Google Sans Text" w:hAnsi="Google Sans Text"/>
          <w:color w:val="1f1f1f"/>
          <w:rtl w:val="0"/>
        </w:rPr>
        <w:t xml:space="preserve"> Svarbu suprasti, kad "Pill withdrawal bleed" nėra tikros menstruacijos. OCP sukuria dirbtinį ciklą, bet </w:t>
      </w:r>
      <w:r w:rsidDel="00000000" w:rsidR="00000000" w:rsidRPr="00000000">
        <w:rPr>
          <w:rFonts w:ascii="Google Sans Text" w:cs="Google Sans Text" w:eastAsia="Google Sans Text" w:hAnsi="Google Sans Text"/>
          <w:b w:val="1"/>
          <w:bCs w:val="1"/>
          <w:color w:val="1f1f1f"/>
          <w:rtl w:val="0"/>
        </w:rPr>
        <w:t xml:space="preserve">neatstato kaulų tankio</w:t>
      </w:r>
      <w:r w:rsidDel="00000000" w:rsidR="00000000" w:rsidRPr="00000000">
        <w:rPr>
          <w:rFonts w:ascii="Google Sans Text" w:cs="Google Sans Text" w:eastAsia="Google Sans Text" w:hAnsi="Google Sans Text"/>
          <w:color w:val="1f1f1f"/>
          <w:rtl w:val="0"/>
        </w:rPr>
        <w:t xml:space="preserve">. Kepenyse metabolizuojamas etinyl-estradiolis mažina IGF-1, todėl kaulų būklė gali net blogėti. Kaulų apsaugai pirmenybė teikiama </w:t>
      </w:r>
      <w:r w:rsidDel="00000000" w:rsidR="00000000" w:rsidRPr="00000000">
        <w:rPr>
          <w:rFonts w:ascii="Google Sans Text" w:cs="Google Sans Text" w:eastAsia="Google Sans Text" w:hAnsi="Google Sans Text"/>
          <w:b w:val="1"/>
          <w:bCs w:val="1"/>
          <w:color w:val="1f1f1f"/>
          <w:rtl w:val="0"/>
        </w:rPr>
        <w:t xml:space="preserve">transderminiam estrogenui</w:t>
      </w:r>
      <w:r w:rsidDel="00000000" w:rsidR="00000000" w:rsidRPr="00000000">
        <w:rPr>
          <w:rFonts w:ascii="Google Sans Text" w:cs="Google Sans Text" w:eastAsia="Google Sans Text" w:hAnsi="Google Sans Text"/>
          <w:color w:val="1f1f1f"/>
          <w:rtl w:val="0"/>
        </w:rPr>
        <w:t xml:space="preserve"> (pleistrai/geliai) kartu su ciklišku progesteronu.</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Klinikiniai Protokolai ir Praktinis Įgyvendinimas</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Grįžimo į Sportą (RTP) Rizikos Vertinimo Modelis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Remiantis IOC RED-S CAT (Clinical Assessment Tool)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taikoma "Šviesoforo" sistema sprendžiant dėl leidimo sportuoti.</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RTP "Traffic Light" Sistema</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Kategorija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Klinikiniai požymiai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Leidimas Sportuoti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Raudona (High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Anoreksija nervosa, staigus svorio kritimas (&gt;5%/mėn), pavojingi EKG pokyčiai, ortostatinė hipotenzija, sunkūs psichologiniai sutrikimai.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Jokių varžybų. Jokių treniruočių.</w:t>
            </w:r>
            <w:r w:rsidDel="00000000" w:rsidR="00000000" w:rsidRPr="00000000">
              <w:rPr>
                <w:rFonts w:ascii="Google Sans Text" w:cs="Google Sans Text" w:eastAsia="Google Sans Text" w:hAnsi="Google Sans Text"/>
                <w:color w:val="1f1f1f"/>
                <w:shd w:fill="auto" w:val="clear"/>
                <w:rtl w:val="0"/>
              </w:rPr>
              <w:t xml:space="preserve"> Būtina rašytinė gydymo sutartis. Fokusas tik į sveikatos atstatymą.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Geltona (Moderate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Ilgalaikė amenorėja, žemas KMI (bet stabilus), stresinių lūžių istorija, subklinikiniai mitybos sutrikimai, ankstyvi osteopenijos požymiai.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Galima treniruotis su modifikacijomis.</w:t>
            </w:r>
            <w:r w:rsidDel="00000000" w:rsidR="00000000" w:rsidRPr="00000000">
              <w:rPr>
                <w:rFonts w:ascii="Google Sans Text" w:cs="Google Sans Text" w:eastAsia="Google Sans Text" w:hAnsi="Google Sans Text"/>
                <w:color w:val="1f1f1f"/>
                <w:shd w:fill="auto" w:val="clear"/>
                <w:rtl w:val="0"/>
              </w:rPr>
              <w:t xml:space="preserve"> Būtina reguliari medicininė priežiūra (kas 1-4 sav.). Varžybos leidžiamos tik jei laikomasi plano.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Žalia (Low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Normalus KMI, reguliarios menstruacijos, sveika kaulų struktūra, adekvati mityba.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Pilnas dalyvavimas.</w:t>
            </w:r>
            <w:r w:rsidDel="00000000" w:rsidR="00000000" w:rsidRPr="00000000">
              <w:rPr>
                <w:rFonts w:ascii="Google Sans Text" w:cs="Google Sans Text" w:eastAsia="Google Sans Text" w:hAnsi="Google Sans Text"/>
                <w:color w:val="1f1f1f"/>
                <w:shd w:fill="auto" w:val="clear"/>
                <w:rtl w:val="0"/>
              </w:rPr>
              <w:t xml:space="preserve"> Profilaktinis monitoringas.</w:t>
            </w:r>
          </w:p>
        </w:tc>
      </w:tr>
    </w:tbl>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Mitybos Planavimas: Didelio Energijos Tankio Strategijos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Norint pasiekti EA &gt;45 kcal/kg FFM, atletui dažnai reikia suvartoti 3000+ kcal, kas esant "slopinamam apetitui" (dėl hormoninių pokyčių RED-S atveju) yra sunku.</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Strategijos:</w:t>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Skystos Kalorijos:</w:t>
      </w:r>
      <w:r w:rsidDel="00000000" w:rsidR="00000000" w:rsidRPr="00000000">
        <w:rPr>
          <w:rFonts w:ascii="Google Sans Text" w:cs="Google Sans Text" w:eastAsia="Google Sans Text" w:hAnsi="Google Sans Text"/>
          <w:color w:val="1f1f1f"/>
          <w:rtl w:val="0"/>
        </w:rPr>
        <w:t xml:space="preserve"> Glotnučiai, sportiniai gėrimai, pienas, sultys – nesuteikia tokio sotumo jausmo kaip kietas maistas.</w:t>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Dažnis:</w:t>
      </w:r>
      <w:r w:rsidDel="00000000" w:rsidR="00000000" w:rsidRPr="00000000">
        <w:rPr>
          <w:rFonts w:ascii="Google Sans Text" w:cs="Google Sans Text" w:eastAsia="Google Sans Text" w:hAnsi="Google Sans Text"/>
          <w:color w:val="1f1f1f"/>
          <w:rtl w:val="0"/>
        </w:rPr>
        <w:t xml:space="preserve"> Valgyti kas 2-3 valandas (3 pagrindiniai + 3 užkandžiai).</w:t>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Riebalai:</w:t>
      </w:r>
      <w:r w:rsidDel="00000000" w:rsidR="00000000" w:rsidRPr="00000000">
        <w:rPr>
          <w:rFonts w:ascii="Google Sans Text" w:cs="Google Sans Text" w:eastAsia="Google Sans Text" w:hAnsi="Google Sans Text"/>
          <w:color w:val="1f1f1f"/>
          <w:rtl w:val="0"/>
        </w:rPr>
        <w:t xml:space="preserve"> Įtraukti sveikus riebalus (riešutų sviestas, avokadas, aliejai), nes jie turi didžiausią energijos tankį.</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Pavyzdinis 3000 kcal Mitybos Planas (Atstatymui)</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Šis planas skirtas ~60 kg sveriančiai sportininkei, siekiančiai atstatyti energijos balansą.</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Valgymas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Komponentai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Apytikslė Vertė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Pusryčiai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80g avižų + 250ml nenugriebto pieno + 1 bananas + 2 v.š. riešutų sviesto + 1 v.š. medaus.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~800 kcal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Priešpiečiai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Graikiškas jogurtas (pilno riebumo) + granola + sauja migdolų.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~450 kcal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Pietūs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150g vištienos krūtinėlė + didelė porcija (200g virto svorio) ryžių/kynvos + avokadas + daržovės su alyvuogių aliejumi.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~750 kcal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Prieš Treniruotę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Energinis batonėlis ar vaisius (lengvai virškinamas).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~250 kcal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 Treniruotės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Baltyminis kokteilis (Recovery) arba 500ml šokoladinio pieno.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~300 kcal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Vakarienė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Pilno grūdo makaronai su mėsos padažu + sūris.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~500 kcal</w:t>
            </w:r>
          </w:p>
        </w:tc>
      </w:tr>
    </w:tbl>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Pastaba:</w:t>
      </w:r>
      <w:r w:rsidDel="00000000" w:rsidR="00000000" w:rsidRPr="00000000">
        <w:rPr>
          <w:rFonts w:ascii="Google Sans Text" w:cs="Google Sans Text" w:eastAsia="Google Sans Text" w:hAnsi="Google Sans Text"/>
          <w:color w:val="1f1f1f"/>
          <w:rtl w:val="0"/>
        </w:rPr>
        <w:t xml:space="preserve"> Svarbu individualizuoti pagal toleranciją ir kultūrinius pomėgius.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Ši ataskaita integruoja klinikinius tyrimus ir praktines rekomendacijas, pateikdama holistinį požiūrį į sportininkų sveikatą. Sėkmingas šių protokolų taikymas reikalauja glaudaus bendradarbiavimo tarp gydytojo, dietologo ir trenerio, užtikrinant, kad sveikatos optimizavimas taptų pagrindu sportiniams rezultatams.</w:t>
      </w:r>
    </w:p>
    <w:p w:rsidR="00000000" w:rsidDel="00000000" w:rsidP="00000000" w:rsidRDefault="00000000" w:rsidRPr="00000000" w14:paraId="000000E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Exercising with Type 1 Diabetes: Managing Blood Sugar Levels when Using Automated Insulin Delivery (AID) Systems - Support, pasiekta sausio 2, 2026, </w:t>
      </w:r>
      <w:hyperlink r:id="rId6">
        <w:r w:rsidDel="00000000" w:rsidR="00000000" w:rsidRPr="00000000">
          <w:rPr>
            <w:rFonts w:ascii="Google Sans" w:cs="Google Sans" w:eastAsia="Google Sans" w:hAnsi="Google Sans"/>
            <w:color w:val="0000ee"/>
            <w:sz w:val="24"/>
            <w:szCs w:val="24"/>
            <w:u w:val="single"/>
            <w:rtl w:val="0"/>
          </w:rPr>
          <w:t xml:space="preserve">https://type1support.ca/en/exercising-with-type-1-diabetes-managing-blood-sugar-levels-when-using-automated-insulin-delivery-aid-systems/</w:t>
        </w:r>
      </w:hyperlink>
      <w:r w:rsidDel="00000000" w:rsidR="00000000" w:rsidRPr="00000000">
        <w:rPr>
          <w:rtl w:val="0"/>
        </w:rPr>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Exercise Guidelines - Diabetes - UCLA Health, pasiekta sausio 2, 2026, </w:t>
      </w:r>
      <w:hyperlink r:id="rId7">
        <w:r w:rsidDel="00000000" w:rsidR="00000000" w:rsidRPr="00000000">
          <w:rPr>
            <w:rFonts w:ascii="Google Sans" w:cs="Google Sans" w:eastAsia="Google Sans" w:hAnsi="Google Sans"/>
            <w:color w:val="0000ee"/>
            <w:sz w:val="24"/>
            <w:szCs w:val="24"/>
            <w:u w:val="single"/>
            <w:rtl w:val="0"/>
          </w:rPr>
          <w:t xml:space="preserve">https://www.uclahealth.org/medical-services/endocrinology/diabetes/type-1-diabetes/exercise-guidelines</w:t>
        </w:r>
      </w:hyperlink>
      <w:r w:rsidDel="00000000" w:rsidR="00000000" w:rsidRPr="00000000">
        <w:rPr>
          <w:rtl w:val="0"/>
        </w:rPr>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Exercise and type 1 diabetes - diabinfo, pasiekta sausio 2, 2026, </w:t>
      </w:r>
      <w:hyperlink r:id="rId8">
        <w:r w:rsidDel="00000000" w:rsidR="00000000" w:rsidRPr="00000000">
          <w:rPr>
            <w:rFonts w:ascii="Google Sans" w:cs="Google Sans" w:eastAsia="Google Sans" w:hAnsi="Google Sans"/>
            <w:color w:val="0000ee"/>
            <w:sz w:val="24"/>
            <w:szCs w:val="24"/>
            <w:u w:val="single"/>
            <w:rtl w:val="0"/>
          </w:rPr>
          <w:t xml:space="preserve">https://www.diabinfo.de/en/living-with-diabetes/type-1-diabetes/diabetes-in-everyday-life/exercise.html</w:t>
        </w:r>
      </w:hyperlink>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Physical Activity/Exercise and Diabetes: A Position Statement of the American Diabetes Association - PMC - NIH, pasiekta sausio 2, 2026,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https://pmc.ncbi.nlm.nih.gov/articles/PMC6908414/</w:t>
        </w:r>
      </w:hyperlink>
      <w:r w:rsidDel="00000000" w:rsidR="00000000" w:rsidRPr="00000000">
        <w:rPr>
          <w:rtl w:val="0"/>
        </w:rPr>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Performing Resistance Exercise Before Versus After Aerobic Exercise on Glycemia in Type 1 Diabetes - NIH, pasiekta sausio 2, 2026,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https://pmc.ncbi.nlm.nih.gov/articles/PMC3308306/</w:t>
        </w:r>
      </w:hyperlink>
      <w:r w:rsidDel="00000000" w:rsidR="00000000" w:rsidRPr="00000000">
        <w:rPr>
          <w:rtl w:val="0"/>
        </w:rPr>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15g CARBOHYDRATE SNACKS, pasiekta sausio 2, 2026, </w:t>
      </w:r>
      <w:hyperlink r:id="rId11">
        <w:r w:rsidDel="00000000" w:rsidR="00000000" w:rsidRPr="00000000">
          <w:rPr>
            <w:rFonts w:ascii="Google Sans" w:cs="Google Sans" w:eastAsia="Google Sans" w:hAnsi="Google Sans"/>
            <w:color w:val="0000ee"/>
            <w:sz w:val="24"/>
            <w:szCs w:val="24"/>
            <w:u w:val="single"/>
            <w:rtl w:val="0"/>
          </w:rPr>
          <w:t xml:space="preserve">https://www.texaschildrens.org/sites/default/files/uploads/documents/diabetes/Carb%20Snacks.pdf</w:t>
        </w:r>
      </w:hyperlink>
      <w:r w:rsidDel="00000000" w:rsidR="00000000" w:rsidRPr="00000000">
        <w:rPr>
          <w:rtl w:val="0"/>
        </w:rPr>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Snacks with about 15 grams of carbs (Great to treat hypoglycemia!) - The Johns Hopkins Patient Guide to Diabetes, pasiekta sausio 2, 2026, </w:t>
      </w:r>
      <w:hyperlink r:id="rId12">
        <w:r w:rsidDel="00000000" w:rsidR="00000000" w:rsidRPr="00000000">
          <w:rPr>
            <w:rFonts w:ascii="Google Sans" w:cs="Google Sans" w:eastAsia="Google Sans" w:hAnsi="Google Sans"/>
            <w:color w:val="0000ee"/>
            <w:sz w:val="24"/>
            <w:szCs w:val="24"/>
            <w:u w:val="single"/>
            <w:rtl w:val="0"/>
          </w:rPr>
          <w:t xml:space="preserve">https://hopkinsdiabetesinfo.org/wp-content/uploads/2016/04/Snacks-with-about-15-grams-of-carbs-updated.pdf</w:t>
        </w:r>
      </w:hyperlink>
      <w:r w:rsidDel="00000000" w:rsidR="00000000" w:rsidRPr="00000000">
        <w:rPr>
          <w:rtl w:val="0"/>
        </w:rPr>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Quick-Sugar Foods - MyHealth Alberta, pasiekta sausio 2, 2026, </w:t>
      </w:r>
      <w:hyperlink r:id="rId13">
        <w:r w:rsidDel="00000000" w:rsidR="00000000" w:rsidRPr="00000000">
          <w:rPr>
            <w:rFonts w:ascii="Google Sans" w:cs="Google Sans" w:eastAsia="Google Sans" w:hAnsi="Google Sans"/>
            <w:color w:val="0000ee"/>
            <w:sz w:val="24"/>
            <w:szCs w:val="24"/>
            <w:u w:val="single"/>
            <w:rtl w:val="0"/>
          </w:rPr>
          <w:t xml:space="preserve">https://myhealth.alberta.ca/Health/pages/conditions.aspx?hwid=aa20698</w:t>
        </w:r>
      </w:hyperlink>
      <w:r w:rsidDel="00000000" w:rsidR="00000000" w:rsidRPr="00000000">
        <w:rPr>
          <w:rtl w:val="0"/>
        </w:rPr>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Physical Activity/Exercise and Diabetes: A Position Statement of the American Diabetes Association, pasiekta sausio 2, 2026, </w:t>
      </w:r>
      <w:hyperlink r:id="rId14">
        <w:r w:rsidDel="00000000" w:rsidR="00000000" w:rsidRPr="00000000">
          <w:rPr>
            <w:rFonts w:ascii="Google Sans" w:cs="Google Sans" w:eastAsia="Google Sans" w:hAnsi="Google Sans"/>
            <w:color w:val="0000ee"/>
            <w:sz w:val="24"/>
            <w:szCs w:val="24"/>
            <w:u w:val="single"/>
            <w:rtl w:val="0"/>
          </w:rPr>
          <w:t xml:space="preserve">https://diabetesjournals.org/care/article/39/11/2065/37249/Physical-Activity-Exercise-and-Diabetes-A-Position</w:t>
        </w:r>
      </w:hyperlink>
      <w:r w:rsidDel="00000000" w:rsidR="00000000" w:rsidRPr="00000000">
        <w:rPr>
          <w:rtl w:val="0"/>
        </w:rPr>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of diabetic ketoacidosis of SGLT2 inhibitors in patients with type 2 diabetes: a systematic review and network meta-analysis of randomized controlled trials - Frontiers, pasiekta sausio 2, 2026, </w:t>
      </w:r>
      <w:hyperlink r:id="rId15">
        <w:r w:rsidDel="00000000" w:rsidR="00000000" w:rsidRPr="00000000">
          <w:rPr>
            <w:rFonts w:ascii="Google Sans" w:cs="Google Sans" w:eastAsia="Google Sans" w:hAnsi="Google Sans"/>
            <w:color w:val="0000ee"/>
            <w:sz w:val="24"/>
            <w:szCs w:val="24"/>
            <w:u w:val="single"/>
            <w:rtl w:val="0"/>
          </w:rPr>
          <w:t xml:space="preserve">https://www.frontiersin.org/journals/pharmacology/articles/10.3389/fphar.2023.1145587/full</w:t>
        </w:r>
      </w:hyperlink>
      <w:r w:rsidDel="00000000" w:rsidR="00000000" w:rsidRPr="00000000">
        <w:rPr>
          <w:rtl w:val="0"/>
        </w:rPr>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SGLT2 Inhibitor–Induced Euglycemic Diabetic Ketoacidosis: A Case Report - PMC - NIH, pasiekta sausio 2, 2026,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https://pmc.ncbi.nlm.nih.gov/articles/PMC7380362/</w:t>
        </w:r>
      </w:hyperlink>
      <w:r w:rsidDel="00000000" w:rsidR="00000000" w:rsidRPr="00000000">
        <w:rPr>
          <w:rtl w:val="0"/>
        </w:rPr>
      </w:r>
    </w:p>
    <w:p w:rsidR="00000000" w:rsidDel="00000000" w:rsidP="00000000" w:rsidRDefault="00000000" w:rsidRPr="00000000" w14:paraId="000000E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recommended holding duration of Jardiance prior to cardiac catheterization? Does the holding duration recommendation vary depending on the surgical procedure? - InpharmD™, pasiekta sausio 2, 2026, </w:t>
      </w:r>
      <w:hyperlink r:id="rId17">
        <w:r w:rsidDel="00000000" w:rsidR="00000000" w:rsidRPr="00000000">
          <w:rPr>
            <w:rFonts w:ascii="Google Sans" w:cs="Google Sans" w:eastAsia="Google Sans" w:hAnsi="Google Sans"/>
            <w:color w:val="0000ee"/>
            <w:sz w:val="24"/>
            <w:szCs w:val="24"/>
            <w:u w:val="single"/>
            <w:rtl w:val="0"/>
          </w:rPr>
          <w:t xml:space="preserve">https://inpharmd.com/inquiries/14b10af91eeab7858644c1016a48749f0a6d2cc69b606ddbd05ee8e269fda6d6</w:t>
        </w:r>
      </w:hyperlink>
      <w:r w:rsidDel="00000000" w:rsidR="00000000" w:rsidRPr="00000000">
        <w:rPr>
          <w:rtl w:val="0"/>
        </w:rPr>
      </w:r>
    </w:p>
    <w:p w:rsidR="00000000" w:rsidDel="00000000" w:rsidP="00000000" w:rsidRDefault="00000000" w:rsidRPr="00000000" w14:paraId="000000E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AACE/ACE position statement: SGLT2 inhibitors do not raise the background risk of DKA in type 2 diabetes - DiabetesontheNet, pasiekta sausio 2, 2026, </w:t>
      </w:r>
      <w:hyperlink r:id="rId18">
        <w:r w:rsidDel="00000000" w:rsidR="00000000" w:rsidRPr="00000000">
          <w:rPr>
            <w:rFonts w:ascii="Google Sans" w:cs="Google Sans" w:eastAsia="Google Sans" w:hAnsi="Google Sans"/>
            <w:color w:val="0000ee"/>
            <w:sz w:val="24"/>
            <w:szCs w:val="24"/>
            <w:u w:val="single"/>
            <w:rtl w:val="0"/>
          </w:rPr>
          <w:t xml:space="preserve">https://diabetesonthenet.com/diabetes-news/aaceace-position-statement-sglt2-inhibitors-do-not-raise-the-background-risk-of-dka-in-type-2-diabetes/</w:t>
        </w:r>
      </w:hyperlink>
      <w:r w:rsidDel="00000000" w:rsidR="00000000" w:rsidRPr="00000000">
        <w:rPr>
          <w:rtl w:val="0"/>
        </w:rPr>
      </w:r>
    </w:p>
    <w:p w:rsidR="00000000" w:rsidDel="00000000" w:rsidP="00000000" w:rsidRDefault="00000000" w:rsidRPr="00000000" w14:paraId="000000E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APPROACHES TO IMPROVING NUTRITION AND ENERGY AVAILABILITY IN RED-S - Aspetar Sports Medicine Journal - Home, pasiekta sausio 2, 2026, </w:t>
      </w:r>
      <w:hyperlink r:id="rId19">
        <w:r w:rsidDel="00000000" w:rsidR="00000000" w:rsidRPr="00000000">
          <w:rPr>
            <w:rFonts w:ascii="Google Sans" w:cs="Google Sans" w:eastAsia="Google Sans" w:hAnsi="Google Sans"/>
            <w:color w:val="0000ee"/>
            <w:sz w:val="24"/>
            <w:szCs w:val="24"/>
            <w:u w:val="single"/>
            <w:rtl w:val="0"/>
          </w:rPr>
          <w:t xml:space="preserve">https://journal.aspetar.com/en/archive/volume-10-targeted-topic-sports-nutrition/practical-approaches-to-improving-nutrition-and-energy-availability-in-red-s</w:t>
        </w:r>
      </w:hyperlink>
      <w:r w:rsidDel="00000000" w:rsidR="00000000" w:rsidRPr="00000000">
        <w:rPr>
          <w:rtl w:val="0"/>
        </w:rPr>
      </w:r>
    </w:p>
    <w:p w:rsidR="00000000" w:rsidDel="00000000" w:rsidP="00000000" w:rsidRDefault="00000000" w:rsidRPr="00000000" w14:paraId="000000F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IOC REDs CAT2 - OHSU, pasiekta sausio 2, 2026, </w:t>
      </w:r>
      <w:hyperlink r:id="rId20">
        <w:r w:rsidDel="00000000" w:rsidR="00000000" w:rsidRPr="00000000">
          <w:rPr>
            <w:rFonts w:ascii="Google Sans" w:cs="Google Sans" w:eastAsia="Google Sans" w:hAnsi="Google Sans"/>
            <w:color w:val="0000ee"/>
            <w:sz w:val="24"/>
            <w:szCs w:val="24"/>
            <w:u w:val="single"/>
            <w:rtl w:val="0"/>
          </w:rPr>
          <w:t xml:space="preserve">https://www.ohsu.edu/sites/default/files/2024-02/PCR%202024%20-%20Novak%20-%20REDS%20-%20Handouts.pdf</w:t>
        </w:r>
      </w:hyperlink>
      <w:r w:rsidDel="00000000" w:rsidR="00000000" w:rsidRPr="00000000">
        <w:rPr>
          <w:rtl w:val="0"/>
        </w:rPr>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Low Energy Availability and How Do We Calculate It? | Axis Sports Med, pasiekta sausio 2, 2026, </w:t>
      </w:r>
      <w:hyperlink r:id="rId21">
        <w:r w:rsidDel="00000000" w:rsidR="00000000" w:rsidRPr="00000000">
          <w:rPr>
            <w:rFonts w:ascii="Google Sans" w:cs="Google Sans" w:eastAsia="Google Sans" w:hAnsi="Google Sans"/>
            <w:color w:val="0000ee"/>
            <w:sz w:val="24"/>
            <w:szCs w:val="24"/>
            <w:u w:val="single"/>
            <w:rtl w:val="0"/>
          </w:rPr>
          <w:t xml:space="preserve">https://www.axissportsmedicine.co.nz/blog/what-is-low-energy-availability-and-how-do-we-calculate-it</w:t>
        </w:r>
      </w:hyperlink>
      <w:r w:rsidDel="00000000" w:rsidR="00000000" w:rsidRPr="00000000">
        <w:rPr>
          <w:rtl w:val="0"/>
        </w:rPr>
      </w:r>
    </w:p>
    <w:p w:rsidR="00000000" w:rsidDel="00000000" w:rsidP="00000000" w:rsidRDefault="00000000" w:rsidRPr="00000000" w14:paraId="000000F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Nutritional Strategies in the Rehabilitation of Musculoskeletal Injuries in Athletes: A Systematic Integrative Review - PMC - NIH, pasiekta sausio 2,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https://pmc.ncbi.nlm.nih.gov/articles/PMC9965375/</w:t>
        </w:r>
      </w:hyperlink>
      <w:r w:rsidDel="00000000" w:rsidR="00000000" w:rsidRPr="00000000">
        <w:rPr>
          <w:rtl w:val="0"/>
        </w:rPr>
      </w:r>
    </w:p>
    <w:p w:rsidR="00000000" w:rsidDel="00000000" w:rsidP="00000000" w:rsidRDefault="00000000" w:rsidRPr="00000000" w14:paraId="000000F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 1 of 13 Vitamin D and Stress Fractures Most Recent IRB approval - ClinicalTrials.gov, pasiekta sausio 2, 2026, </w:t>
      </w:r>
      <w:hyperlink r:id="rId23">
        <w:r w:rsidDel="00000000" w:rsidR="00000000" w:rsidRPr="00000000">
          <w:rPr>
            <w:rFonts w:ascii="Google Sans" w:cs="Google Sans" w:eastAsia="Google Sans" w:hAnsi="Google Sans"/>
            <w:color w:val="0000ee"/>
            <w:sz w:val="24"/>
            <w:szCs w:val="24"/>
            <w:u w:val="single"/>
            <w:rtl w:val="0"/>
          </w:rPr>
          <w:t xml:space="preserve">https://cdn.clinicaltrials.gov/large-docs/71/NCT03395171/Prot_SAP_000.pdf</w:t>
        </w:r>
      </w:hyperlink>
      <w:r w:rsidDel="00000000" w:rsidR="00000000" w:rsidRPr="00000000">
        <w:rPr>
          <w:rtl w:val="0"/>
        </w:rPr>
      </w:r>
    </w:p>
    <w:p w:rsidR="00000000" w:rsidDel="00000000" w:rsidP="00000000" w:rsidRDefault="00000000" w:rsidRPr="00000000" w14:paraId="000000F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Vitamin D3 Supplementation and Stress Fractures in High-Risk Collegiate Athletes – A Pilot Study - NIH, pasiekta sausio 2,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https://pmc.ncbi.nlm.nih.gov/articles/PMC7051810/</w:t>
        </w:r>
      </w:hyperlink>
      <w:r w:rsidDel="00000000" w:rsidR="00000000" w:rsidRPr="00000000">
        <w:rPr>
          <w:rtl w:val="0"/>
        </w:rPr>
      </w:r>
    </w:p>
    <w:p w:rsidR="00000000" w:rsidDel="00000000" w:rsidP="00000000" w:rsidRDefault="00000000" w:rsidRPr="00000000" w14:paraId="000000F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Nutrient effects on stress reaction to bone - PMC - NIH, pasiekta sausio 2,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https://pmc.ncbi.nlm.nih.gov/articles/PMC3498016/</w:t>
        </w:r>
      </w:hyperlink>
      <w:r w:rsidDel="00000000" w:rsidR="00000000" w:rsidRPr="00000000">
        <w:rPr>
          <w:rtl w:val="0"/>
        </w:rPr>
      </w:r>
    </w:p>
    <w:p w:rsidR="00000000" w:rsidDel="00000000" w:rsidP="00000000" w:rsidRDefault="00000000" w:rsidRPr="00000000" w14:paraId="000000F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Vitamin D Supplementation and Its Impact on Different Types of Bone Fractures - MDPI, pasiekta sausio 2, 2026, </w:t>
      </w:r>
      <w:hyperlink r:id="rId26">
        <w:r w:rsidDel="00000000" w:rsidR="00000000" w:rsidRPr="00000000">
          <w:rPr>
            <w:rFonts w:ascii="Google Sans" w:cs="Google Sans" w:eastAsia="Google Sans" w:hAnsi="Google Sans"/>
            <w:color w:val="0000ee"/>
            <w:sz w:val="24"/>
            <w:szCs w:val="24"/>
            <w:u w:val="single"/>
            <w:rtl w:val="0"/>
          </w:rPr>
          <w:t xml:space="preserve">https://www.mdpi.com/2072-6643/15/1/103</w:t>
        </w:r>
      </w:hyperlink>
      <w:r w:rsidDel="00000000" w:rsidR="00000000" w:rsidRPr="00000000">
        <w:rPr>
          <w:rtl w:val="0"/>
        </w:rPr>
      </w:r>
    </w:p>
    <w:p w:rsidR="00000000" w:rsidDel="00000000" w:rsidP="00000000" w:rsidRDefault="00000000" w:rsidRPr="00000000" w14:paraId="000000F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Vitamin D and Stress Fractures in Sport: Preventive and Therapeutic Measures—A Narrative Review - PubMed Central, pasiekta sausio 2,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https://pmc.ncbi.nlm.nih.gov/articles/PMC7999420/</w:t>
        </w:r>
      </w:hyperlink>
      <w:r w:rsidDel="00000000" w:rsidR="00000000" w:rsidRPr="00000000">
        <w:rPr>
          <w:rtl w:val="0"/>
        </w:rPr>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Treatment of Stress Fractures in Athletes With Intravenous Pamidronate - ResearchGate, pasiekta sausio 2, 2026, </w:t>
      </w:r>
      <w:hyperlink r:id="rId28">
        <w:r w:rsidDel="00000000" w:rsidR="00000000" w:rsidRPr="00000000">
          <w:rPr>
            <w:rFonts w:ascii="Google Sans" w:cs="Google Sans" w:eastAsia="Google Sans" w:hAnsi="Google Sans"/>
            <w:color w:val="0000ee"/>
            <w:sz w:val="24"/>
            <w:szCs w:val="24"/>
            <w:u w:val="single"/>
            <w:rtl w:val="0"/>
          </w:rPr>
          <w:t xml:space="preserve">https://www.researchgate.net/publication/7953165_Treatment_of_Stress_Fractures_in_Athletes_With_Intravenous_Pamidronate</w:t>
        </w:r>
      </w:hyperlink>
      <w:r w:rsidDel="00000000" w:rsidR="00000000" w:rsidRPr="00000000">
        <w:rPr>
          <w:rtl w:val="0"/>
        </w:rPr>
      </w:r>
    </w:p>
    <w:p w:rsidR="00000000" w:rsidDel="00000000" w:rsidP="00000000" w:rsidRDefault="00000000" w:rsidRPr="00000000" w14:paraId="000000F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not use bisphosphonates without scientific evidence, neither in treatment nor prophylactic, in the treatment of stress fractures - PubMed, pasiekta sausio 2, 2026, </w:t>
      </w:r>
      <w:hyperlink r:id="rId29">
        <w:r w:rsidDel="00000000" w:rsidR="00000000" w:rsidRPr="00000000">
          <w:rPr>
            <w:rFonts w:ascii="Google Sans" w:cs="Google Sans" w:eastAsia="Google Sans" w:hAnsi="Google Sans"/>
            <w:color w:val="0000ee"/>
            <w:sz w:val="24"/>
            <w:szCs w:val="24"/>
            <w:u w:val="single"/>
            <w:rtl w:val="0"/>
          </w:rPr>
          <w:t xml:space="preserve">https://pubmed.ncbi.nlm.nih.gov/19238357/</w:t>
        </w:r>
      </w:hyperlink>
      <w:r w:rsidDel="00000000" w:rsidR="00000000" w:rsidRPr="00000000">
        <w:rPr>
          <w:rtl w:val="0"/>
        </w:rPr>
      </w:r>
    </w:p>
    <w:p w:rsidR="00000000" w:rsidDel="00000000" w:rsidP="00000000" w:rsidRDefault="00000000" w:rsidRPr="00000000" w14:paraId="000000F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RED-S CAT™, pasiekta sausio 2, 2026, </w:t>
      </w:r>
      <w:hyperlink r:id="rId30">
        <w:r w:rsidDel="00000000" w:rsidR="00000000" w:rsidRPr="00000000">
          <w:rPr>
            <w:rFonts w:ascii="Google Sans" w:cs="Google Sans" w:eastAsia="Google Sans" w:hAnsi="Google Sans"/>
            <w:color w:val="0000ee"/>
            <w:sz w:val="24"/>
            <w:szCs w:val="24"/>
            <w:u w:val="single"/>
            <w:rtl w:val="0"/>
          </w:rPr>
          <w:t xml:space="preserve">https://bjsm.bmj.com/content/bjsports/49/7/421.full.pdf</w:t>
        </w:r>
      </w:hyperlink>
      <w:r w:rsidDel="00000000" w:rsidR="00000000" w:rsidRPr="00000000">
        <w:rPr>
          <w:rtl w:val="0"/>
        </w:rPr>
      </w:r>
    </w:p>
    <w:p w:rsidR="00000000" w:rsidDel="00000000" w:rsidP="00000000" w:rsidRDefault="00000000" w:rsidRPr="00000000" w14:paraId="000000F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3,000-Calorie Diet: Benefits, Weight Gain, and Meal Plan - Healthline, pasiekta sausio 2, 2026, </w:t>
      </w:r>
      <w:hyperlink r:id="rId31">
        <w:r w:rsidDel="00000000" w:rsidR="00000000" w:rsidRPr="00000000">
          <w:rPr>
            <w:rFonts w:ascii="Google Sans" w:cs="Google Sans" w:eastAsia="Google Sans" w:hAnsi="Google Sans"/>
            <w:color w:val="0000ee"/>
            <w:sz w:val="24"/>
            <w:szCs w:val="24"/>
            <w:u w:val="single"/>
            <w:rtl w:val="0"/>
          </w:rPr>
          <w:t xml:space="preserve">https://www.healthline.com/nutrition/3000-calorie-meal-plan</w:t>
        </w:r>
      </w:hyperlink>
      <w:r w:rsidDel="00000000" w:rsidR="00000000" w:rsidRPr="00000000">
        <w:rPr>
          <w:rtl w:val="0"/>
        </w:rPr>
      </w:r>
    </w:p>
    <w:p w:rsidR="00000000" w:rsidDel="00000000" w:rsidP="00000000" w:rsidRDefault="00000000" w:rsidRPr="00000000" w14:paraId="000000F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SAMPLE DAILY MENU 3,000 Calorie Menu 1 - Sports &amp; Cardiovascular Nutrition, pasiekta sausio 2, 2026, </w:t>
      </w:r>
      <w:hyperlink r:id="rId32">
        <w:r w:rsidDel="00000000" w:rsidR="00000000" w:rsidRPr="00000000">
          <w:rPr>
            <w:rFonts w:ascii="Google Sans" w:cs="Google Sans" w:eastAsia="Google Sans" w:hAnsi="Google Sans"/>
            <w:color w:val="0000ee"/>
            <w:sz w:val="24"/>
            <w:szCs w:val="24"/>
            <w:u w:val="single"/>
            <w:rtl w:val="0"/>
          </w:rPr>
          <w:t xml:space="preserve">https://sportsnutrition.msu.edu/SNAPP/_files/docs/meals-snacks/3000CalorieMealPlans.pdf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ohsu.edu/sites/default/files/2024-02/PCR%202024%20-%20Novak%20-%20REDS%20-%20Handouts.pdf" TargetMode="External"/><Relationship Id="rId22" Type="http://schemas.openxmlformats.org/officeDocument/2006/relationships/hyperlink" Target="https://pmc.ncbi.nlm.nih.gov/articles/PMC9965375/" TargetMode="External"/><Relationship Id="rId21" Type="http://schemas.openxmlformats.org/officeDocument/2006/relationships/hyperlink" Target="https://www.axissportsmedicine.co.nz/blog/what-is-low-energy-availability-and-how-do-we-calculate-it" TargetMode="External"/><Relationship Id="rId24" Type="http://schemas.openxmlformats.org/officeDocument/2006/relationships/hyperlink" Target="https://pmc.ncbi.nlm.nih.gov/articles/PMC7051810/" TargetMode="External"/><Relationship Id="rId23" Type="http://schemas.openxmlformats.org/officeDocument/2006/relationships/hyperlink" Target="https://cdn.clinicaltrials.gov/large-docs/71/NCT03395171/Prot_SAP_000.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6908414/" TargetMode="External"/><Relationship Id="rId26" Type="http://schemas.openxmlformats.org/officeDocument/2006/relationships/hyperlink" Target="https://www.mdpi.com/2072-6643/15/1/103" TargetMode="External"/><Relationship Id="rId25" Type="http://schemas.openxmlformats.org/officeDocument/2006/relationships/hyperlink" Target="https://pmc.ncbi.nlm.nih.gov/articles/PMC3498016/" TargetMode="External"/><Relationship Id="rId28" Type="http://schemas.openxmlformats.org/officeDocument/2006/relationships/hyperlink" Target="https://www.researchgate.net/publication/7953165_Treatment_of_Stress_Fractures_in_Athletes_With_Intravenous_Pamidronate" TargetMode="External"/><Relationship Id="rId27" Type="http://schemas.openxmlformats.org/officeDocument/2006/relationships/hyperlink" Target="https://pmc.ncbi.nlm.nih.gov/articles/PMC7999420/" TargetMode="External"/><Relationship Id="rId5" Type="http://schemas.openxmlformats.org/officeDocument/2006/relationships/styles" Target="styles.xml"/><Relationship Id="rId6" Type="http://schemas.openxmlformats.org/officeDocument/2006/relationships/hyperlink" Target="https://type1support.ca/en/exercising-with-type-1-diabetes-managing-blood-sugar-levels-when-using-automated-insulin-delivery-aid-systems/" TargetMode="External"/><Relationship Id="rId29" Type="http://schemas.openxmlformats.org/officeDocument/2006/relationships/hyperlink" Target="https://pubmed.ncbi.nlm.nih.gov/19238357/" TargetMode="External"/><Relationship Id="rId7" Type="http://schemas.openxmlformats.org/officeDocument/2006/relationships/hyperlink" Target="https://www.uclahealth.org/medical-services/endocrinology/diabetes/type-1-diabetes/exercise-guidelines" TargetMode="External"/><Relationship Id="rId8" Type="http://schemas.openxmlformats.org/officeDocument/2006/relationships/hyperlink" Target="https://www.diabinfo.de/en/living-with-diabetes/type-1-diabetes/diabetes-in-everyday-life/exercise.html" TargetMode="External"/><Relationship Id="rId31" Type="http://schemas.openxmlformats.org/officeDocument/2006/relationships/hyperlink" Target="https://www.healthline.com/nutrition/3000-calorie-meal-plan" TargetMode="External"/><Relationship Id="rId30" Type="http://schemas.openxmlformats.org/officeDocument/2006/relationships/hyperlink" Target="https://bjsm.bmj.com/content/bjsports/49/7/421.full.pdf" TargetMode="External"/><Relationship Id="rId11" Type="http://schemas.openxmlformats.org/officeDocument/2006/relationships/hyperlink" Target="https://www.texaschildrens.org/sites/default/files/uploads/documents/diabetes/Carb%20Snacks.pdf" TargetMode="External"/><Relationship Id="rId10" Type="http://schemas.openxmlformats.org/officeDocument/2006/relationships/hyperlink" Target="https://pmc.ncbi.nlm.nih.gov/articles/PMC3308306/" TargetMode="External"/><Relationship Id="rId32" Type="http://schemas.openxmlformats.org/officeDocument/2006/relationships/hyperlink" Target="https://sportsnutrition.msu.edu/SNAPP/_files/docs/meals-snacks/3000CalorieMealPlans.pdf" TargetMode="External"/><Relationship Id="rId13" Type="http://schemas.openxmlformats.org/officeDocument/2006/relationships/hyperlink" Target="https://myhealth.alberta.ca/Health/pages/conditions.aspx?hwid=aa20698" TargetMode="External"/><Relationship Id="rId12" Type="http://schemas.openxmlformats.org/officeDocument/2006/relationships/hyperlink" Target="https://hopkinsdiabetesinfo.org/wp-content/uploads/2016/04/Snacks-with-about-15-grams-of-carbs-updated.pdf" TargetMode="External"/><Relationship Id="rId15" Type="http://schemas.openxmlformats.org/officeDocument/2006/relationships/hyperlink" Target="https://www.frontiersin.org/journals/pharmacology/articles/10.3389/fphar.2023.1145587/full" TargetMode="External"/><Relationship Id="rId14" Type="http://schemas.openxmlformats.org/officeDocument/2006/relationships/hyperlink" Target="https://diabetesjournals.org/care/article/39/11/2065/37249/Physical-Activity-Exercise-and-Diabetes-A-Position" TargetMode="External"/><Relationship Id="rId17" Type="http://schemas.openxmlformats.org/officeDocument/2006/relationships/hyperlink" Target="https://inpharmd.com/inquiries/14b10af91eeab7858644c1016a48749f0a6d2cc69b606ddbd05ee8e269fda6d6" TargetMode="External"/><Relationship Id="rId16" Type="http://schemas.openxmlformats.org/officeDocument/2006/relationships/hyperlink" Target="https://pmc.ncbi.nlm.nih.gov/articles/PMC7380362/" TargetMode="External"/><Relationship Id="rId19" Type="http://schemas.openxmlformats.org/officeDocument/2006/relationships/hyperlink" Target="https://journal.aspetar.com/en/archive/volume-10-targeted-topic-sports-nutrition/practical-approaches-to-improving-nutrition-and-energy-availability-in-red-s" TargetMode="External"/><Relationship Id="rId18" Type="http://schemas.openxmlformats.org/officeDocument/2006/relationships/hyperlink" Target="https://diabetesonthenet.com/diabetes-news/aaceace-position-statement-sglt2-inhibitors-do-not-raise-the-background-risk-of-dka-in-type-2-diabet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