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Kraujo Biomarkerių Interpretacija ir Mitybinė Strategija Didelio Meistriškumo Sporte: Išsamus Vadovas Treneriams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Įvadas: Fiziologinės Stebėsenos Paradigmos Pokytis Sporto Moksle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Šiuolaikiniame didelio meistriškumo sporte atletų rengimas peržengė tradicines ribas, kuriose dominavo tik fizinio krūvio periodizacija ir techninis tobulinimas. Trenerio vaidmuo evoliucionavo į tarpdisciplininį procesų valdymą, kuriame gebėjimas vertinti atleto biologinį atsaką į krūvį tampa kritiniu sėkmės veiksniu. Viena sudėtingiausių, tačiau didžiausią potencialą turinčių sričių, yra kraujo biocheminių rodiklių analizė ir jos integracija į mitybos strategijas. Nors klinikinė diagnozė išlieka griežta medicinos personalo prerogatyva, treneris, būdamas arčiausiai atleto kasdienėje veikloje, privalo turėti kompetenciją atpažinti ankstyvuosius fiziologinio disbalanso signalus.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ataskaitoje pateikiama išsami mokslinė analizė apie tai, kaip mitybos trūkumai ir treniruočių stresas atsispindi kraujo biomarkerių profiliuose. Dokumentas skirtas treneriams, siekiantiems suprasti ne tik „kas“ vyksta atleto organizme, bet ir „kodėl“ tai vyksta, bei „kaip“ saugiai ir efektyviai koreguoti mitybos planus siekiant optimalaus darbingumo.</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Nuo Klinikinės Normos prie Atleto Optimalumo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Esminis konceptualus lūžis, kurį turi įsisavinti sporto praktikai, yra skirtumas tarp „klinikinės normos“ (angl. </w:t>
      </w:r>
      <w:r w:rsidDel="00000000" w:rsidR="00000000" w:rsidRPr="00000000">
        <w:rPr>
          <w:rFonts w:ascii="Google Sans Text" w:cs="Google Sans Text" w:eastAsia="Google Sans Text" w:hAnsi="Google Sans Text"/>
          <w:i w:val="1"/>
          <w:iCs w:val="1"/>
          <w:color w:val="1f1f1f"/>
          <w:rtl w:val="0"/>
        </w:rPr>
        <w:t xml:space="preserve">reference range</w:t>
      </w:r>
      <w:r w:rsidDel="00000000" w:rsidR="00000000" w:rsidRPr="00000000">
        <w:rPr>
          <w:rFonts w:ascii="Google Sans Text" w:cs="Google Sans Text" w:eastAsia="Google Sans Text" w:hAnsi="Google Sans Text"/>
          <w:color w:val="1f1f1f"/>
          <w:rtl w:val="0"/>
        </w:rPr>
        <w:t xml:space="preserve">) ir „funkcinio optimalumo“ (angl. </w:t>
      </w:r>
      <w:r w:rsidDel="00000000" w:rsidR="00000000" w:rsidRPr="00000000">
        <w:rPr>
          <w:rFonts w:ascii="Google Sans Text" w:cs="Google Sans Text" w:eastAsia="Google Sans Text" w:hAnsi="Google Sans Text"/>
          <w:i w:val="1"/>
          <w:iCs w:val="1"/>
          <w:color w:val="1f1f1f"/>
          <w:rtl w:val="0"/>
        </w:rPr>
        <w:t xml:space="preserve">optimal range</w:t>
      </w:r>
      <w:r w:rsidDel="00000000" w:rsidR="00000000" w:rsidRPr="00000000">
        <w:rPr>
          <w:rFonts w:ascii="Google Sans Text" w:cs="Google Sans Text" w:eastAsia="Google Sans Text" w:hAnsi="Google Sans Text"/>
          <w:color w:val="1f1f1f"/>
          <w:rtl w:val="0"/>
        </w:rPr>
        <w:t xml:space="preserve">). Standartinės laboratorinės normos yra sudaromos remiantis statistine populiacijos analize, dažniausiai apimančia sėdimą darbą dirbančius, vidutinio fizinio aktyvumo asmenis. Šios ribos skirtos nustatyti ligos nebuvimą, o ne optimalią funkciją ekstremalaus krūvio sąlygomis. Pavyzdžiui, bendrosios populiacijos feritino (geležies atsargų) norma gali būti laikoma priimtina esant 15–20 ng/mL, tačiau sporto mokslo tyrimai rodo, kad elitiniams ištvermės atletams toks lygis jau gali lemti reikšmingą aerobinio darbingumo sumažėjimą ir lėtesnį atsigavimą.</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Gydytojai yra apmokyti diagnozuoti ir gydyti patologijas – anemiją, osteoporozę ar hipotirozę. Tuo tarpu trenerio tikslas yra optimizacija – neleisti atletui nusristi iki patologinės ribos, identifikuojant subklinikinius deficitus, kurie dar nėra liga, bet jau riboja sportinį rezultatą.</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Šis vadovas orientuojasi į „pilkąją zoną“ tarp ligos ir optimalios sveikatos, kurioje mitybos intervencijos yra veiksmingiausios.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Kompetencijos Ribos, Teisinė Atsakomybė ir Etika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Prieš pradedant detalią biomarkerių analizę, būtina aiškiai apibrėžti trenerio veiklos ribas. Neteisingas savo vaidmens interpretavimas gali sukelti ne tik teisinių pasekmių, bet ir tiesioginę žalą atleto sveikatai.</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Diagnostika prieš Edukaciją</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Treneriai, neturintys medicininio išsilavinimo licencijos, negali diagnozuoti ligų ar skirti farmakologinio gydymo. Kraujo tyrimų interpretacija trenerio darbe turi būti griežtai apibrėžta kaip </w:t>
      </w:r>
      <w:r w:rsidDel="00000000" w:rsidR="00000000" w:rsidRPr="00000000">
        <w:rPr>
          <w:rFonts w:ascii="Google Sans Text" w:cs="Google Sans Text" w:eastAsia="Google Sans Text" w:hAnsi="Google Sans Text"/>
          <w:b w:val="1"/>
          <w:bCs w:val="1"/>
          <w:color w:val="1f1f1f"/>
          <w:rtl w:val="0"/>
        </w:rPr>
        <w:t xml:space="preserve">edukacinė ir stebėsenos priemonė</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Medicininė diagnozė:</w:t>
      </w:r>
      <w:r w:rsidDel="00000000" w:rsidR="00000000" w:rsidRPr="00000000">
        <w:rPr>
          <w:rFonts w:ascii="Google Sans Text" w:cs="Google Sans Text" w:eastAsia="Google Sans Text" w:hAnsi="Google Sans Text"/>
          <w:color w:val="1f1f1f"/>
          <w:rtl w:val="0"/>
        </w:rPr>
        <w:t xml:space="preserve"> Tai oficialus ligos nustatymas (pvz., „Jums diagnozuota geležies stokos mažakraujystė“), kurį atlieka gydytojas, remdamasis klinikiniais simptomais ir tyrimais.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Funkcinė stebėsena:</w:t>
      </w:r>
      <w:r w:rsidDel="00000000" w:rsidR="00000000" w:rsidRPr="00000000">
        <w:rPr>
          <w:rFonts w:ascii="Google Sans Text" w:cs="Google Sans Text" w:eastAsia="Google Sans Text" w:hAnsi="Google Sans Text"/>
          <w:color w:val="1f1f1f"/>
          <w:rtl w:val="0"/>
        </w:rPr>
        <w:t xml:space="preserve"> Tai tendencijų atpažinimas (pvz., „Pastebiu, kad tavo feritino rodikliai nuosekliai mažėja ir artėja prie ribos, kuri gali neigiamai veikti tavo ištvermę“). Tai leidžia treneriui rekomenduoti mitybos pokyčius (pvz., geležimi turtingo maisto vartojimą) arba nukreipti atletą pas gydytoją detalesniam ištyrimui.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Svarbu suvokti, kad treneris dirba su „sveikatingumo strategijomis“ (angl. </w:t>
      </w:r>
      <w:r w:rsidDel="00000000" w:rsidR="00000000" w:rsidRPr="00000000">
        <w:rPr>
          <w:rFonts w:ascii="Google Sans Text" w:cs="Google Sans Text" w:eastAsia="Google Sans Text" w:hAnsi="Google Sans Text"/>
          <w:i w:val="1"/>
          <w:iCs w:val="1"/>
          <w:color w:val="1f1f1f"/>
          <w:rtl w:val="0"/>
        </w:rPr>
        <w:t xml:space="preserve">wellness strategies</w:t>
      </w:r>
      <w:r w:rsidDel="00000000" w:rsidR="00000000" w:rsidRPr="00000000">
        <w:rPr>
          <w:rFonts w:ascii="Google Sans Text" w:cs="Google Sans Text" w:eastAsia="Google Sans Text" w:hAnsi="Google Sans Text"/>
          <w:color w:val="1f1f1f"/>
          <w:rtl w:val="0"/>
        </w:rPr>
        <w:t xml:space="preserve">), o ne „medicininiais protokolais“. Pavyzdžiui, jei atleto tyrimai rodo mažą magnio kiekį eritrocituose, treneris gali edukuoti apie magnio turtingus produktus ir atsistatymo svarbą, tačiau negali skirti receptinių magnio preparatų gydymui.</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Atsakomybės Atsisakymas (Disclaimer) ir Saugumo Protokolai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Kiekviena trenerio konsultacija, susijusi su kraujo tyrimais ar maisto papildais, privalo prasidėti aiškiu atsakomybės apibrėžimu. Tai apsaugo abi puses ir užtikrina, kad atletas supranta informacijos pobūdį. Rekomenduojama naudoti standartizuotą formuluotę:</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"Aš nesu gydytojas ar licencijuotas medicinos specialistas. Ši analizė ir rekomendacijos yra skirtos tik edukaciniais tikslais, siekiant optimizuoti treniruočių procesą ir mitybą. Ši informacija negali būti naudojama kaip pakaitalas profesionaliai medicininei diagnozei, gydymui ar konsultacijai. Jei jaučiate sveikatos sutrikimo simptomus arba kraujo rodikliai yra ženkliai už normos ribų, būtina kreiptis į gydytoją."</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Treneris privalo atpažinti „raudonas vėliavas“ – situacijas, kai jo kompetencija baigiasi:</w:t>
      </w:r>
    </w:p>
    <w:p w:rsidR="00000000" w:rsidDel="00000000" w:rsidP="00000000" w:rsidRDefault="00000000" w:rsidRPr="00000000" w14:paraId="0000001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Ekstremalūs nuokrypiai:</w:t>
      </w:r>
      <w:r w:rsidDel="00000000" w:rsidR="00000000" w:rsidRPr="00000000">
        <w:rPr>
          <w:rFonts w:ascii="Google Sans Text" w:cs="Google Sans Text" w:eastAsia="Google Sans Text" w:hAnsi="Google Sans Text"/>
          <w:color w:val="1f1f1f"/>
          <w:rtl w:val="0"/>
        </w:rPr>
        <w:t xml:space="preserve"> Rodikliai, kurie yra kritiškai žemi arba aukšti (pvz., hemoglobinas &lt;100 g/l, kalis &gt;5.5 mmol/l).</w:t>
      </w:r>
    </w:p>
    <w:p w:rsidR="00000000" w:rsidDel="00000000" w:rsidP="00000000" w:rsidRDefault="00000000" w:rsidRPr="00000000" w14:paraId="0000001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Klinikiniai simptomai:</w:t>
      </w:r>
      <w:r w:rsidDel="00000000" w:rsidR="00000000" w:rsidRPr="00000000">
        <w:rPr>
          <w:rFonts w:ascii="Google Sans Text" w:cs="Google Sans Text" w:eastAsia="Google Sans Text" w:hAnsi="Google Sans Text"/>
          <w:color w:val="1f1f1f"/>
          <w:rtl w:val="0"/>
        </w:rPr>
        <w:t xml:space="preserve"> Alpimas, krūtinės skausmas, kraujas išmatose, nepaaiškinamas svorio kritimas.</w:t>
      </w:r>
    </w:p>
    <w:p w:rsidR="00000000" w:rsidDel="00000000" w:rsidP="00000000" w:rsidRDefault="00000000" w:rsidRPr="00000000" w14:paraId="0000001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Nepaaškinami pokyčiai:</w:t>
      </w:r>
      <w:r w:rsidDel="00000000" w:rsidR="00000000" w:rsidRPr="00000000">
        <w:rPr>
          <w:rFonts w:ascii="Google Sans Text" w:cs="Google Sans Text" w:eastAsia="Google Sans Text" w:hAnsi="Google Sans Text"/>
          <w:color w:val="1f1f1f"/>
          <w:rtl w:val="0"/>
        </w:rPr>
        <w:t xml:space="preserve"> Staigus rodiklių pablogėjimas be aiškios priežasties treniruočių plane.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Santykinis Energijos Deficitas (RED-S) ir Endokrininė Sistema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Santykinis energijos deficitas sporte (RED-S) yra fundamentalus sindromas, darantis įtaką visoms organizmo sistemoms. Tai būklė, kai suvartojamos energijos kiekis yra nepakankamas palaikyti organizmo funkcijoms po to, kai atimama energija, sunaudota fiziniam krūviui. Treneriui svarbu suprasti, kad RED-S nėra tik „valgymo sutrikimas“; tai gali būti netyčinis energijos poreikių nepatenkinimas, kuris sukelia hormonų, reguliuojančių metabolizmą, adaptaciją.</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Energijos Prieinamumo (EA) Slenksciai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Energijos prieinamumas (EA) skaičiuojamas pagal formulę: (Energijos suvartojimas – Energijos sąnaudos treniruotėje) / Liesoji kūno masė (FFM).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Mokslinė literatūra išskiria kritinius slenksčius:</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Optimalus EA:</w:t>
      </w:r>
      <w:r w:rsidDel="00000000" w:rsidR="00000000" w:rsidRPr="00000000">
        <w:rPr>
          <w:rFonts w:ascii="Google Sans Text" w:cs="Google Sans Text" w:eastAsia="Google Sans Text" w:hAnsi="Google Sans Text"/>
          <w:color w:val="1f1f1f"/>
          <w:rtl w:val="0"/>
        </w:rPr>
        <w:t xml:space="preserve"> &gt;45 kcal/kg FFM/dieną. Užtikrina normalią endokrininę funkciją, kaulų apykaitą ir reprodukcinę sveikatą.</w:t>
      </w:r>
    </w:p>
    <w:p w:rsidR="00000000" w:rsidDel="00000000" w:rsidP="00000000" w:rsidRDefault="00000000" w:rsidRPr="00000000" w14:paraId="0000001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Sumažintas EA:</w:t>
      </w:r>
      <w:r w:rsidDel="00000000" w:rsidR="00000000" w:rsidRPr="00000000">
        <w:rPr>
          <w:rFonts w:ascii="Google Sans Text" w:cs="Google Sans Text" w:eastAsia="Google Sans Text" w:hAnsi="Google Sans Text"/>
          <w:color w:val="1f1f1f"/>
          <w:rtl w:val="0"/>
        </w:rPr>
        <w:t xml:space="preserve"> 30–45 kcal/kg FFM/dieną. Gali būti naudojamas trumpalaikiam svorio metimui, tačiau ilgalaikėje perspektyvoje didina riziką.</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Žemas EA (LEA):</w:t>
      </w:r>
      <w:r w:rsidDel="00000000" w:rsidR="00000000" w:rsidRPr="00000000">
        <w:rPr>
          <w:rFonts w:ascii="Google Sans Text" w:cs="Google Sans Text" w:eastAsia="Google Sans Text" w:hAnsi="Google Sans Text"/>
          <w:color w:val="1f1f1f"/>
          <w:rtl w:val="0"/>
        </w:rPr>
        <w:t xml:space="preserve"> &lt;30 kcal/kg FFM/dieną. Tai kritinė riba. Žemiau šios ribos stebimas reprodukcinių hormonų (LH pulsacijos) slopinimas, kaulų formavimosi stabdymas ir metabolizmo lėtėjimas.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Tyrimai rodo, kad problemos prasideda ne tik nuo bendro kalorijų trūkumo, bet ir nuo specifinio angliavandenių trūkumo.</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„Low T3 Syndrome“ ir Mitybos Strategija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Vienas jautriausių energijos deficito biomarkerių yra skydliaukės hormonų apykaita. Badavimo ar didelio krūvio metu organizmas siekia taupyti energiją, mažindamas bazinę medžiagų apykaitą. Tai pasireiškia specifiniu profiliu, vadinamu „Low T3 Syndrome“ (Mažo T3 sindromas).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Fiziologinis Mechanizmas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Skydliaukė gamina tiroksiną (T4), kuris yra prohormonas. Audiniuose (kepenyse, raumenyse) T4 konvertuojamas į aktyvųjį trijodtironiną (T3), kuris skatina metabolizmą, arba į neaktyvųjį reversinį T3 (rT3).</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Esant </w:t>
      </w:r>
      <w:r w:rsidDel="00000000" w:rsidR="00000000" w:rsidRPr="00000000">
        <w:rPr>
          <w:rFonts w:ascii="Google Sans Text" w:cs="Google Sans Text" w:eastAsia="Google Sans Text" w:hAnsi="Google Sans Text"/>
          <w:b w:val="1"/>
          <w:bCs w:val="1"/>
          <w:color w:val="1f1f1f"/>
          <w:rtl w:val="0"/>
        </w:rPr>
        <w:t xml:space="preserve">angliavandenių trūkumui</w:t>
      </w:r>
      <w:r w:rsidDel="00000000" w:rsidR="00000000" w:rsidRPr="00000000">
        <w:rPr>
          <w:rFonts w:ascii="Google Sans Text" w:cs="Google Sans Text" w:eastAsia="Google Sans Text" w:hAnsi="Google Sans Text"/>
          <w:color w:val="1f1f1f"/>
          <w:rtl w:val="0"/>
        </w:rPr>
        <w:t xml:space="preserve"> ir mažam energijos prieinamumui, organizmas blokuoja konversiją į T3 ir skatina konversiją į rT3. Tai apsauginis mechanizmas nuo išsekimo.</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Klasikinis „Vermont Study“ tyrimas parodė, kad T3 lygis tiesiogiai priklauso nuo angliavandenių kiekio mityboje. Dietos be angliavandenių drastiškai sumažino T3, o izokalorinės dietos su bent 50g angliavandenių padėjo išlaikyti stabilesnį lygį, nors pilnas atsistatymas reikalauja didesnio kiekio.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Interpretacija Treneriui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Jei sportininko kraujo tyrimai rodo:</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Žemą arba apatinės ribos laisvą T3 (fT3).</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Normalų arba šiek tiek padidėjusį TSH (tirotropiną).</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Padidėjusį rT3 (jei tiriamas).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Tai yra stiprus signalas apie lėtinį energijos, o ypač angliavandenių, trūkumą. Tai nėra skydliaukės liga (hipotirozė), kuriai reikalingas tiroksinas; tai yra metabolinė adaptacija, kuriai reikalinga mitybos intervencija.10</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Mitybos Intervencija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atstatyti T3 lygį ir metabolinę funkciją, neužtenka tik padidinti bendras kalorijas. Kritinis komponentas yra angliavandeniai:</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Minimalus angliavandenių poreikis atsistatymui gali siekti &gt;5-8 g/kg kūno masės, priklausomai nuo krūvio.</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Tyrimai rodo, kad &lt;3 g/kg angliavandenių suvartojimas yra susijęs su didesne rizika vystytis RED-S simptomams, net jei bendras kalorijų kiekis atrodo pakankamas.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Lytiniai Hormonai ir Kortizolis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RED-S kontekste taip pat stebimi pokyčiai lytinių hormonų ašyje.</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Vyrams:</w:t>
      </w:r>
      <w:r w:rsidDel="00000000" w:rsidR="00000000" w:rsidRPr="00000000">
        <w:rPr>
          <w:rFonts w:ascii="Google Sans Text" w:cs="Google Sans Text" w:eastAsia="Google Sans Text" w:hAnsi="Google Sans Text"/>
          <w:color w:val="1f1f1f"/>
          <w:rtl w:val="0"/>
        </w:rPr>
        <w:t xml:space="preserve"> Lėtinis energijos trūkumas ir stresas sukelia testosterono mažėjimą. Kortizolis (streso hormonas) tiesiogiai slopina gonadotropinus (LH/FSH) ir testosterono gamybą sėklidėse. Žemas testosterono ir kortizolio santykis (T:C ratio) yra klasikinis pertriniravimo ir katabolizmo rodiklis.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Moterims:</w:t>
      </w:r>
      <w:r w:rsidDel="00000000" w:rsidR="00000000" w:rsidRPr="00000000">
        <w:rPr>
          <w:rFonts w:ascii="Google Sans Text" w:cs="Google Sans Text" w:eastAsia="Google Sans Text" w:hAnsi="Google Sans Text"/>
          <w:color w:val="1f1f1f"/>
          <w:rtl w:val="0"/>
        </w:rPr>
        <w:t xml:space="preserve"> Funkcinė pagumburio amenorėja (FHA) yra RED-S pasekmė. Kraujyje tai atsispindi žemu estradiolio, LH ir FSH lygiu. Svarbu pabrėžti, kad hormoniniai kontraceptikai sukuria dirbtinį ciklą ir „užmaskuoja“ natūralią hormonų būklę, todėl kraujo tyrimai vartojant kontraceptikus neatspindi realaus energijos statuso.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Geležies Metabolizmas: Daugiau nei Tik Anemija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Geležis yra bene dažniausiai tirtas, bet dažnai neteisingai interpretuojamas mikroelementas sporte. Treneriui būtina suprasti, kad hemoglobino kritimas yra </w:t>
      </w:r>
      <w:r w:rsidDel="00000000" w:rsidR="00000000" w:rsidRPr="00000000">
        <w:rPr>
          <w:rFonts w:ascii="Google Sans Text" w:cs="Google Sans Text" w:eastAsia="Google Sans Text" w:hAnsi="Google Sans Text"/>
          <w:i w:val="1"/>
          <w:iCs w:val="1"/>
          <w:color w:val="1f1f1f"/>
          <w:rtl w:val="0"/>
        </w:rPr>
        <w:t xml:space="preserve">galutinė</w:t>
      </w:r>
      <w:r w:rsidDel="00000000" w:rsidR="00000000" w:rsidRPr="00000000">
        <w:rPr>
          <w:rFonts w:ascii="Google Sans Text" w:cs="Google Sans Text" w:eastAsia="Google Sans Text" w:hAnsi="Google Sans Text"/>
          <w:color w:val="1f1f1f"/>
          <w:rtl w:val="0"/>
        </w:rPr>
        <w:t xml:space="preserve"> geležies stokos stadija. Darbingumo sumažėjimas prasideda kur kas anksčiau – išsekus geležies atsargoms (feritinui), sutrinka oksidaciniai procesai raumenyse ir mitochondrijų funkcija, net jei deguonies pernešimas kraujyje (hemoglobinas) dar yra normos ribose.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Geležies Stokos Stadijos ir Biomarkeriai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susidaryti pilną vaizdą, būtina vertinti visą geležies apykaitos skydą, o ne tik hemoglobiną.</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Biomarkeris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Funkcija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Sportinė Interpretacija ir Optimalios Ribos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Feritinas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Geležies atsargos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Tai ankstyviausias indikatorius.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Deficitas:</w:t>
            </w:r>
            <w:r w:rsidDel="00000000" w:rsidR="00000000" w:rsidRPr="00000000">
              <w:rPr>
                <w:rFonts w:ascii="Google Sans Text" w:cs="Google Sans Text" w:eastAsia="Google Sans Text" w:hAnsi="Google Sans Text"/>
                <w:color w:val="1f1f1f"/>
                <w:shd w:fill="auto" w:val="clear"/>
                <w:rtl w:val="0"/>
              </w:rPr>
              <w:t xml:space="preserve"> &lt;15–30 ng/mL.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Rizikos zona:</w:t>
            </w:r>
            <w:r w:rsidDel="00000000" w:rsidR="00000000" w:rsidRPr="00000000">
              <w:rPr>
                <w:rFonts w:ascii="Google Sans Text" w:cs="Google Sans Text" w:eastAsia="Google Sans Text" w:hAnsi="Google Sans Text"/>
                <w:color w:val="1f1f1f"/>
                <w:shd w:fill="auto" w:val="clear"/>
                <w:rtl w:val="0"/>
              </w:rPr>
              <w:t xml:space="preserve"> 30–50 ng/mL.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Optimalu:</w:t>
            </w:r>
            <w:r w:rsidDel="00000000" w:rsidR="00000000" w:rsidRPr="00000000">
              <w:rPr>
                <w:rFonts w:ascii="Google Sans Text" w:cs="Google Sans Text" w:eastAsia="Google Sans Text" w:hAnsi="Google Sans Text"/>
                <w:color w:val="1f1f1f"/>
                <w:shd w:fill="auto" w:val="clear"/>
                <w:rtl w:val="0"/>
              </w:rPr>
              <w:t xml:space="preserve"> &gt;50 ng/mL (vyr. &gt;50-100 ng/mL, mot. &gt;40-50 ng/mL).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Pastaba:</w:t>
            </w:r>
            <w:r w:rsidDel="00000000" w:rsidR="00000000" w:rsidRPr="00000000">
              <w:rPr>
                <w:rFonts w:ascii="Google Sans Text" w:cs="Google Sans Text" w:eastAsia="Google Sans Text" w:hAnsi="Google Sans Text"/>
                <w:color w:val="1f1f1f"/>
                <w:shd w:fill="auto" w:val="clear"/>
                <w:rtl w:val="0"/>
              </w:rPr>
              <w:t xml:space="preserve"> Feritinas yra ūmios fazės baltymas (kyla esant uždegimui).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Hemoglobinas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Deguonies pernešimas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Vėlyvas indikatorius. Krenta tik išsekus feritinui.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Vyrams: &lt;130 g/l (Anemija).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Moterims: &lt;120 g/l (Anemija).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Transferino įsotinimas (TSAT)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Geležies transportas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Rodo, kiek „taksi automobilių“ (transferino) yra užimta geležimi.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Deficitas:</w:t>
            </w:r>
            <w:r w:rsidDel="00000000" w:rsidR="00000000" w:rsidRPr="00000000">
              <w:rPr>
                <w:rFonts w:ascii="Google Sans Text" w:cs="Google Sans Text" w:eastAsia="Google Sans Text" w:hAnsi="Google Sans Text"/>
                <w:color w:val="1f1f1f"/>
                <w:shd w:fill="auto" w:val="clear"/>
                <w:rtl w:val="0"/>
              </w:rPr>
              <w:t xml:space="preserve"> &lt;20% (kartais &lt;16%). Tai rodo, kad geležies nepakanka eritropoezei, net jei feritinas atrodo „ribinis“.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Eritrocito dydis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Žemas MCV (&lt;80 fL) rodo mikrocitinę anemiją (geležies stoką).</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Specifiniai Geležies Praradimo Mechanizmai Sporte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Kodėl atletai praranda daugiau geležies nei sėslūs žmonės?</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Pėdos smūgio hemolizė (Foot-strike hemolysis):</w:t>
      </w:r>
      <w:r w:rsidDel="00000000" w:rsidR="00000000" w:rsidRPr="00000000">
        <w:rPr>
          <w:rFonts w:ascii="Google Sans Text" w:cs="Google Sans Text" w:eastAsia="Google Sans Text" w:hAnsi="Google Sans Text"/>
          <w:color w:val="1f1f1f"/>
          <w:rtl w:val="0"/>
        </w:rPr>
        <w:t xml:space="preserve"> Bėgimo metu, kaskart pėdai atsitrenkus į kietą paviršių, pado kapiliaruose mechaniškai sutraiškomi eritrocitai. Nors organizmas stengiasi recirkuliuoti geležį, dalis hemoglobino prarandama per inkstus (hemoglobinurija). Tai ypač aktualu bėgikams, didinantiems kilometražą.</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Hepcidino blokada ir absorbcija:</w:t>
      </w:r>
      <w:r w:rsidDel="00000000" w:rsidR="00000000" w:rsidRPr="00000000">
        <w:rPr>
          <w:rFonts w:ascii="Google Sans Text" w:cs="Google Sans Text" w:eastAsia="Google Sans Text" w:hAnsi="Google Sans Text"/>
          <w:color w:val="1f1f1f"/>
          <w:rtl w:val="0"/>
        </w:rPr>
        <w:t xml:space="preserve"> Tai yra kritinis momentas mitybos planavimui. Hepcidinas yra kepenų hormonas, reguliuojantis geležies pasisavinimą. Fizinis krūvis sukelia uždegiminį atsaką (padidėja IL-6), kuris stimuliuoja hepcidino išsiskyrimą. Aukštas hepcidino lygis „užrakina“ geležį ląstelėse ir blokuoja jos absorbciją žarnyne 3–6 valandas po krūvio.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7">
      <w:pPr>
        <w:numPr>
          <w:ilvl w:val="1"/>
          <w:numId w:val="1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Praktinė išvada:</w:t>
      </w:r>
      <w:r w:rsidDel="00000000" w:rsidR="00000000" w:rsidRPr="00000000">
        <w:rPr>
          <w:rFonts w:ascii="Google Sans Text" w:cs="Google Sans Text" w:eastAsia="Google Sans Text" w:hAnsi="Google Sans Text"/>
          <w:color w:val="1f1f1f"/>
          <w:rtl w:val="0"/>
        </w:rPr>
        <w:t xml:space="preserve"> Geležies papildus ar geležimi turtingą maistą (raudoną mėsą) vartoti </w:t>
      </w:r>
      <w:r w:rsidDel="00000000" w:rsidR="00000000" w:rsidRPr="00000000">
        <w:rPr>
          <w:rFonts w:ascii="Google Sans Text" w:cs="Google Sans Text" w:eastAsia="Google Sans Text" w:hAnsi="Google Sans Text"/>
          <w:b w:val="1"/>
          <w:bCs w:val="1"/>
          <w:color w:val="1f1f1f"/>
          <w:rtl w:val="0"/>
        </w:rPr>
        <w:t xml:space="preserve">ne iškart po sunkios treniruotės</w:t>
      </w:r>
      <w:r w:rsidDel="00000000" w:rsidR="00000000" w:rsidRPr="00000000">
        <w:rPr>
          <w:rFonts w:ascii="Google Sans Text" w:cs="Google Sans Text" w:eastAsia="Google Sans Text" w:hAnsi="Google Sans Text"/>
          <w:color w:val="1f1f1f"/>
          <w:rtl w:val="0"/>
        </w:rPr>
        <w:t xml:space="preserve">. Efektyviausias langas – ryte prieš treniruotę (kai hepcidinas žemiausias) arba praėjus pakankamai laiko po krūvio.</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Pseudo-anemija (Praskiedimo efektas)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Treneris privalo atpažinti „sportinę anemiją“. Pradėjus intensyvų ištvermės treniruočių ciklą, kraujo plazmos tūris didėja greičiau nei eritrocitų masė. Tai sukelia hemodiliuciją (kraujo praskiedimą).</w:t>
      </w:r>
    </w:p>
    <w:p w:rsidR="00000000" w:rsidDel="00000000" w:rsidP="00000000" w:rsidRDefault="00000000" w:rsidRPr="00000000" w14:paraId="0000005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Požymiai:</w:t>
      </w:r>
      <w:r w:rsidDel="00000000" w:rsidR="00000000" w:rsidRPr="00000000">
        <w:rPr>
          <w:rFonts w:ascii="Google Sans Text" w:cs="Google Sans Text" w:eastAsia="Google Sans Text" w:hAnsi="Google Sans Text"/>
          <w:color w:val="1f1f1f"/>
          <w:rtl w:val="0"/>
        </w:rPr>
        <w:t xml:space="preserve"> Hemoglobinas ir hematokritas šiek tiek sumažėja, tačiau feritinas, MCV ir MCH išlieka normalūs, o atleto darbingumas nesumažėja.</w:t>
      </w:r>
    </w:p>
    <w:p w:rsidR="00000000" w:rsidDel="00000000" w:rsidP="00000000" w:rsidRDefault="00000000" w:rsidRPr="00000000" w14:paraId="0000005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Interpretacija:</w:t>
      </w:r>
      <w:r w:rsidDel="00000000" w:rsidR="00000000" w:rsidRPr="00000000">
        <w:rPr>
          <w:rFonts w:ascii="Google Sans Text" w:cs="Google Sans Text" w:eastAsia="Google Sans Text" w:hAnsi="Google Sans Text"/>
          <w:color w:val="1f1f1f"/>
          <w:rtl w:val="0"/>
        </w:rPr>
        <w:t xml:space="preserve"> Tai yra teigiama adaptacija (geresnė termoreguliacija ir širdies veikla), o ne liga. Geležies papildai šiuo atveju nėra būtini ir gali būti net žalingi.</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Vitaminas D ir Kaulų Sveikata: Hormoninis Poveikis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Vitaminas D (25(OH)D) sporto kontekste vertinamas ne tik dėl kaulų tankio, bet ir dėl jo įtakos raumenų funkcijai (greitojo susitraukimo skaiduloms), imuninei sistemai ir uždegiminių procesų reguliavimui. Jis veikia kaip steroidinis hormonas.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Optimalios Zonos ir Sezoniškumas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Dauguma tyrimų rekomenduoja atletams siekti aukštesnių ribų nei bendrajai populiacijai:</w:t>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Deficitas:</w:t>
      </w:r>
      <w:r w:rsidDel="00000000" w:rsidR="00000000" w:rsidRPr="00000000">
        <w:rPr>
          <w:rFonts w:ascii="Google Sans Text" w:cs="Google Sans Text" w:eastAsia="Google Sans Text" w:hAnsi="Google Sans Text"/>
          <w:color w:val="1f1f1f"/>
          <w:rtl w:val="0"/>
        </w:rPr>
        <w:t xml:space="preserve"> &lt;20 ng/mL (&lt;50 nmol/L). Didelė kaulų lūžių ir raumenų silpnumo rizika.</w:t>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Nepakankamumas:</w:t>
      </w:r>
      <w:r w:rsidDel="00000000" w:rsidR="00000000" w:rsidRPr="00000000">
        <w:rPr>
          <w:rFonts w:ascii="Google Sans Text" w:cs="Google Sans Text" w:eastAsia="Google Sans Text" w:hAnsi="Google Sans Text"/>
          <w:color w:val="1f1f1f"/>
          <w:rtl w:val="0"/>
        </w:rPr>
        <w:t xml:space="preserve"> 20–30 ng/mL.</w:t>
      </w:r>
    </w:p>
    <w:p w:rsidR="00000000" w:rsidDel="00000000" w:rsidP="00000000" w:rsidRDefault="00000000" w:rsidRPr="00000000" w14:paraId="0000006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Atleto tikslinė zona:</w:t>
      </w:r>
      <w:r w:rsidDel="00000000" w:rsidR="00000000" w:rsidRPr="00000000">
        <w:rPr>
          <w:rFonts w:ascii="Google Sans Text" w:cs="Google Sans Text" w:eastAsia="Google Sans Text" w:hAnsi="Google Sans Text"/>
          <w:color w:val="1f1f1f"/>
          <w:rtl w:val="0"/>
        </w:rPr>
        <w:t xml:space="preserve"> &gt;40 ng/mL, idealu </w:t>
      </w:r>
      <w:r w:rsidDel="00000000" w:rsidR="00000000" w:rsidRPr="00000000">
        <w:rPr>
          <w:rFonts w:ascii="Google Sans Text" w:cs="Google Sans Text" w:eastAsia="Google Sans Text" w:hAnsi="Google Sans Text"/>
          <w:b w:val="1"/>
          <w:bCs w:val="1"/>
          <w:color w:val="1f1f1f"/>
          <w:rtl w:val="0"/>
        </w:rPr>
        <w:t xml:space="preserve">40–60 ng/mL</w:t>
      </w:r>
      <w:r w:rsidDel="00000000" w:rsidR="00000000" w:rsidRPr="00000000">
        <w:rPr>
          <w:rFonts w:ascii="Google Sans Text" w:cs="Google Sans Text" w:eastAsia="Google Sans Text" w:hAnsi="Google Sans Text"/>
          <w:color w:val="1f1f1f"/>
          <w:rtl w:val="0"/>
        </w:rPr>
        <w:t xml:space="preserve"> (100–150 nmol/L). Šis lygis siejamas su optimalia raumenų jėga, mažesne stresinių lūžių rizika ir geresne imunine funkcija.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Toksiškumas:</w:t>
      </w:r>
      <w:r w:rsidDel="00000000" w:rsidR="00000000" w:rsidRPr="00000000">
        <w:rPr>
          <w:rFonts w:ascii="Google Sans Text" w:cs="Google Sans Text" w:eastAsia="Google Sans Text" w:hAnsi="Google Sans Text"/>
          <w:color w:val="1f1f1f"/>
          <w:rtl w:val="0"/>
        </w:rPr>
        <w:t xml:space="preserve"> &gt;100-150 ng/mL. Perteklius gali sukelti hiperkalcemiją.</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Rizikos grupės:</w:t>
      </w:r>
    </w:p>
    <w:p w:rsidR="00000000" w:rsidDel="00000000" w:rsidP="00000000" w:rsidRDefault="00000000" w:rsidRPr="00000000" w14:paraId="0000006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Uždarų patalpų sportas:</w:t>
      </w:r>
      <w:r w:rsidDel="00000000" w:rsidR="00000000" w:rsidRPr="00000000">
        <w:rPr>
          <w:rFonts w:ascii="Google Sans Text" w:cs="Google Sans Text" w:eastAsia="Google Sans Text" w:hAnsi="Google Sans Text"/>
          <w:color w:val="1f1f1f"/>
          <w:rtl w:val="0"/>
        </w:rPr>
        <w:t xml:space="preserve"> Krepšininkai, gimnastai, plaukikai dažnai turi mažesnį Vit D lygį nei lauko sportininkai.</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Etninė paradoksas:</w:t>
      </w:r>
      <w:r w:rsidDel="00000000" w:rsidR="00000000" w:rsidRPr="00000000">
        <w:rPr>
          <w:rFonts w:ascii="Google Sans Text" w:cs="Google Sans Text" w:eastAsia="Google Sans Text" w:hAnsi="Google Sans Text"/>
          <w:color w:val="1f1f1f"/>
          <w:rtl w:val="0"/>
        </w:rPr>
        <w:t xml:space="preserve"> Tamsesnės odos atletai (daugiau melanino) sintetina mažiau Vit D, todėl jiems rizika didesnė. Tačiau tyrimai rodo, kad juodaodžiai atletai gali turėti mažesnį bendrą 25(OH)D kiekį, bet didesnį kaulų tankį dėl genetinių skirtumų vitamino D surišančiuose baltymuose. Tai reikalauja individualaus vertinimo.</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Kaulų Apykaitos Markeriai (CTX-1 ir P1NP)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Siekiant išvengti stresinių lūžių, pažengusioje stebėsenoje naudojami kaulų apykaitos žymenys. Jie parodo kaulo dinamiką realiu laiku, o ne istorinę būklę (kaip DEXA skenas).</w:t>
      </w:r>
    </w:p>
    <w:p w:rsidR="00000000" w:rsidDel="00000000" w:rsidP="00000000" w:rsidRDefault="00000000" w:rsidRPr="00000000" w14:paraId="0000006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CTX-1 (C-terminal telopeptide):</w:t>
      </w:r>
      <w:r w:rsidDel="00000000" w:rsidR="00000000" w:rsidRPr="00000000">
        <w:rPr>
          <w:rFonts w:ascii="Google Sans Text" w:cs="Google Sans Text" w:eastAsia="Google Sans Text" w:hAnsi="Google Sans Text"/>
          <w:color w:val="1f1f1f"/>
          <w:rtl w:val="0"/>
        </w:rPr>
        <w:t xml:space="preserve"> Rodo kaulo irimą (rezorbciją).</w:t>
      </w:r>
    </w:p>
    <w:p w:rsidR="00000000" w:rsidDel="00000000" w:rsidP="00000000" w:rsidRDefault="00000000" w:rsidRPr="00000000" w14:paraId="0000006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P1NP:</w:t>
      </w:r>
      <w:r w:rsidDel="00000000" w:rsidR="00000000" w:rsidRPr="00000000">
        <w:rPr>
          <w:rFonts w:ascii="Google Sans Text" w:cs="Google Sans Text" w:eastAsia="Google Sans Text" w:hAnsi="Google Sans Text"/>
          <w:color w:val="1f1f1f"/>
          <w:rtl w:val="0"/>
        </w:rPr>
        <w:t xml:space="preserve"> Rodo kaulo formavimąsi.</w:t>
      </w:r>
    </w:p>
    <w:p w:rsidR="00000000" w:rsidDel="00000000" w:rsidP="00000000" w:rsidRDefault="00000000" w:rsidRPr="00000000" w14:paraId="0000006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Mitybos strategija – Kalcis prieš krūvį:</w:t>
      </w:r>
      <w:r w:rsidDel="00000000" w:rsidR="00000000" w:rsidRPr="00000000">
        <w:rPr>
          <w:rFonts w:ascii="Google Sans Text" w:cs="Google Sans Text" w:eastAsia="Google Sans Text" w:hAnsi="Google Sans Text"/>
          <w:color w:val="1f1f1f"/>
          <w:rtl w:val="0"/>
        </w:rPr>
        <w:t xml:space="preserve"> Tyrimai rodo, kad suvartojus kalcio turtingą maistą (pvz., pieno produktus, ~1000 mg kalcio) </w:t>
      </w:r>
      <w:r w:rsidDel="00000000" w:rsidR="00000000" w:rsidRPr="00000000">
        <w:rPr>
          <w:rFonts w:ascii="Google Sans Text" w:cs="Google Sans Text" w:eastAsia="Google Sans Text" w:hAnsi="Google Sans Text"/>
          <w:b w:val="1"/>
          <w:bCs w:val="1"/>
          <w:color w:val="1f1f1f"/>
          <w:rtl w:val="0"/>
        </w:rPr>
        <w:t xml:space="preserve">prieš</w:t>
      </w:r>
      <w:r w:rsidDel="00000000" w:rsidR="00000000" w:rsidRPr="00000000">
        <w:rPr>
          <w:rFonts w:ascii="Google Sans Text" w:cs="Google Sans Text" w:eastAsia="Google Sans Text" w:hAnsi="Google Sans Text"/>
          <w:color w:val="1f1f1f"/>
          <w:rtl w:val="0"/>
        </w:rPr>
        <w:t xml:space="preserve"> sunkią ištvermės treniruotę, galima reikšmingai sumažinti CTX-1 pakilimą (kaulo irimą) krūvio metu. Tai apsaugo kaulinį audinį, nes organizmas naudoja kalcį iš maisto, o ne iš kaulų, kad palaikytų kalcio lygį kraujyje prakaitavimo metu.</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Tai yra itin praktiška rekomendacija treneriams.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B Grupės Vitaminai ir Hematologija: MCV Spąstai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B12 (kobalaminas) ir Folio rūgštis (B9) yra būtini DNR sintezei ir raudonųjų kraujo kūnelių gamybai. Jų trūkumas sukelia megaloblastinę anemiją, tačiau sportininkams svarbu atpažinti subklinikinius trūkumus, kurie dar nepasireiškia anemija.</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B12 ir Atleto Darbingumas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Nors klinikinė norma dažnai prasideda nuo ~200 pg/mL, tyrimai su elitiniais atletais rodo, kad hemoglobino sintezė efektyviausia, kai B12 lygis yra </w:t>
      </w:r>
      <w:r w:rsidDel="00000000" w:rsidR="00000000" w:rsidRPr="00000000">
        <w:rPr>
          <w:rFonts w:ascii="Google Sans Text" w:cs="Google Sans Text" w:eastAsia="Google Sans Text" w:hAnsi="Google Sans Text"/>
          <w:b w:val="1"/>
          <w:bCs w:val="1"/>
          <w:color w:val="1f1f1f"/>
          <w:rtl w:val="0"/>
        </w:rPr>
        <w:t xml:space="preserve">400–700 pg/mL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Esant &lt;400 pg/mL, net jei nėra anemijos, gali pasireikšti neurologiniai simptomai: galūnių tirpimas, koordinacijos sutrikimai, nuotaikų kaita, prastas atsistatymas.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Veganišką mitybą praktikuojantys atletai yra didžiausioje rizikos grupėje ir privalo vartoti papildus arba spirituotus produktus.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MCV: Raktas į Diferencinę Analizę</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Vidutinis eritrocito tūris (MCV) yra kritinis rodiklis treneriui, padedantis atskirti mitybos trūkumus.</w:t>
      </w:r>
    </w:p>
    <w:p w:rsidR="00000000" w:rsidDel="00000000" w:rsidP="00000000" w:rsidRDefault="00000000" w:rsidRPr="00000000" w14:paraId="00000074">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Žemas MCV (&lt;80 fL):</w:t>
      </w:r>
      <w:r w:rsidDel="00000000" w:rsidR="00000000" w:rsidRPr="00000000">
        <w:rPr>
          <w:rFonts w:ascii="Google Sans Text" w:cs="Google Sans Text" w:eastAsia="Google Sans Text" w:hAnsi="Google Sans Text"/>
          <w:color w:val="1f1f1f"/>
          <w:rtl w:val="0"/>
        </w:rPr>
        <w:t xml:space="preserve"> Mikrocitozė. Dažniausiai – </w:t>
      </w:r>
      <w:r w:rsidDel="00000000" w:rsidR="00000000" w:rsidRPr="00000000">
        <w:rPr>
          <w:rFonts w:ascii="Google Sans Text" w:cs="Google Sans Text" w:eastAsia="Google Sans Text" w:hAnsi="Google Sans Text"/>
          <w:b w:val="1"/>
          <w:bCs w:val="1"/>
          <w:color w:val="1f1f1f"/>
          <w:rtl w:val="0"/>
        </w:rPr>
        <w:t xml:space="preserve">geležies trūkumas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Aukštas MCV (&gt;98-100 fL):</w:t>
      </w:r>
      <w:r w:rsidDel="00000000" w:rsidR="00000000" w:rsidRPr="00000000">
        <w:rPr>
          <w:rFonts w:ascii="Google Sans Text" w:cs="Google Sans Text" w:eastAsia="Google Sans Text" w:hAnsi="Google Sans Text"/>
          <w:color w:val="1f1f1f"/>
          <w:rtl w:val="0"/>
        </w:rPr>
        <w:t xml:space="preserve"> Makrocitozė. Dažniausiai – </w:t>
      </w:r>
      <w:r w:rsidDel="00000000" w:rsidR="00000000" w:rsidRPr="00000000">
        <w:rPr>
          <w:rFonts w:ascii="Google Sans Text" w:cs="Google Sans Text" w:eastAsia="Google Sans Text" w:hAnsi="Google Sans Text"/>
          <w:b w:val="1"/>
          <w:bCs w:val="1"/>
          <w:color w:val="1f1f1f"/>
          <w:rtl w:val="0"/>
        </w:rPr>
        <w:t xml:space="preserve">B12 arba Folio rūgšties trūkumas</w:t>
      </w:r>
      <w:r w:rsidDel="00000000" w:rsidR="00000000" w:rsidRPr="00000000">
        <w:rPr>
          <w:rFonts w:ascii="Google Sans Text" w:cs="Google Sans Text" w:eastAsia="Google Sans Text" w:hAnsi="Google Sans Text"/>
          <w:color w:val="1f1f1f"/>
          <w:rtl w:val="0"/>
        </w:rPr>
        <w:t xml:space="preserve">. Taip pat gali rodyti kepenų apkrovą ar alkoholio vartojimą.</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Mišrios Anemijos Pavojus (Normalaus MCV Spąstai)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yra viena dažniausių interpretacijos klaidų. Jei atletas turi </w:t>
      </w:r>
      <w:r w:rsidDel="00000000" w:rsidR="00000000" w:rsidRPr="00000000">
        <w:rPr>
          <w:rFonts w:ascii="Google Sans Text" w:cs="Google Sans Text" w:eastAsia="Google Sans Text" w:hAnsi="Google Sans Text"/>
          <w:b w:val="1"/>
          <w:bCs w:val="1"/>
          <w:color w:val="1f1f1f"/>
          <w:rtl w:val="0"/>
        </w:rPr>
        <w:t xml:space="preserve">ir</w:t>
      </w:r>
      <w:r w:rsidDel="00000000" w:rsidR="00000000" w:rsidRPr="00000000">
        <w:rPr>
          <w:rFonts w:ascii="Google Sans Text" w:cs="Google Sans Text" w:eastAsia="Google Sans Text" w:hAnsi="Google Sans Text"/>
          <w:color w:val="1f1f1f"/>
          <w:rtl w:val="0"/>
        </w:rPr>
        <w:t xml:space="preserve"> geležies trūkumą (kuris mažina ląsteles), </w:t>
      </w:r>
      <w:r w:rsidDel="00000000" w:rsidR="00000000" w:rsidRPr="00000000">
        <w:rPr>
          <w:rFonts w:ascii="Google Sans Text" w:cs="Google Sans Text" w:eastAsia="Google Sans Text" w:hAnsi="Google Sans Text"/>
          <w:b w:val="1"/>
          <w:bCs w:val="1"/>
          <w:color w:val="1f1f1f"/>
          <w:rtl w:val="0"/>
        </w:rPr>
        <w:t xml:space="preserve">ir</w:t>
      </w:r>
      <w:r w:rsidDel="00000000" w:rsidR="00000000" w:rsidRPr="00000000">
        <w:rPr>
          <w:rFonts w:ascii="Google Sans Text" w:cs="Google Sans Text" w:eastAsia="Google Sans Text" w:hAnsi="Google Sans Text"/>
          <w:color w:val="1f1f1f"/>
          <w:rtl w:val="0"/>
        </w:rPr>
        <w:t xml:space="preserve"> B12 trūkumą (kuris didina ląsteles), šie du faktoriai „neutralizuoja“ vienas kitą, ir MCV rodiklis išlieka apgaulingai normalus (normocitinis).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Kaip atpažinti?</w:t>
      </w:r>
      <w:r w:rsidDel="00000000" w:rsidR="00000000" w:rsidRPr="00000000">
        <w:rPr>
          <w:rFonts w:ascii="Google Sans Text" w:cs="Google Sans Text" w:eastAsia="Google Sans Text" w:hAnsi="Google Sans Text"/>
          <w:color w:val="1f1f1f"/>
          <w:rtl w:val="0"/>
        </w:rPr>
        <w:t xml:space="preserve"> Jei hemoglobinas žemas ar ribinis, o MCV normalus, būtina tikrinti </w:t>
      </w:r>
      <w:r w:rsidDel="00000000" w:rsidR="00000000" w:rsidRPr="00000000">
        <w:rPr>
          <w:rFonts w:ascii="Google Sans Text" w:cs="Google Sans Text" w:eastAsia="Google Sans Text" w:hAnsi="Google Sans Text"/>
          <w:b w:val="1"/>
          <w:bCs w:val="1"/>
          <w:color w:val="1f1f1f"/>
          <w:rtl w:val="0"/>
        </w:rPr>
        <w:t xml:space="preserve">RDW</w:t>
      </w:r>
      <w:r w:rsidDel="00000000" w:rsidR="00000000" w:rsidRPr="00000000">
        <w:rPr>
          <w:rFonts w:ascii="Google Sans Text" w:cs="Google Sans Text" w:eastAsia="Google Sans Text" w:hAnsi="Google Sans Text"/>
          <w:color w:val="1f1f1f"/>
          <w:rtl w:val="0"/>
        </w:rPr>
        <w:t xml:space="preserve"> (Red Cell Distribution Width). Aukštas RDW rodo didelę ląstelių dydžių įvairovę (anizocitozę) – yra ir labai mažų, ir labai didelių ląstelių, kas sufleruoja apie mišrią mitybos problemą.</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Magnis: Nematomas Trūkumas ir Vertinimo Iššūkiai</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Magnis yra kofaktorius daugiau nei 300 fermentinių reakcijų, įskaitant ATP sintezę, raumenų atsipalaidavimą ir nervinio impulso perdavimą. Tačiau jo statuso vertinimas yra viena problemiškiausių sričių sporto diagnostikoje.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Serumo Magnio Problematika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Standartinis kraujo tyrimas matuoja magnį serume. Tačiau serume yra tik &lt;1% viso organizmo magnio. Organizmas itin griežtai palaiko serumo magnio homeostazę: esant trūkumui, magnis mobilizuojamas iš kaulų ir raumenų į kraują.</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Išvada:</w:t>
      </w:r>
      <w:r w:rsidDel="00000000" w:rsidR="00000000" w:rsidRPr="00000000">
        <w:rPr>
          <w:rFonts w:ascii="Google Sans Text" w:cs="Google Sans Text" w:eastAsia="Google Sans Text" w:hAnsi="Google Sans Text"/>
          <w:color w:val="1f1f1f"/>
          <w:rtl w:val="0"/>
        </w:rPr>
        <w:t xml:space="preserve"> Atletas gali turėti didelį magnio deficitą ląstelėse (raumenyse), tačiau jo serumo tyrimas bus „idealus“. Pasikliauti vien serumo magniu treneriui yra klaidinga.</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Alternatyvūs Vertinimo Būdai</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Eritrocitų Magnis (RBC Magnesium):</w:t>
      </w:r>
      <w:r w:rsidDel="00000000" w:rsidR="00000000" w:rsidRPr="00000000">
        <w:rPr>
          <w:rFonts w:ascii="Google Sans Text" w:cs="Google Sans Text" w:eastAsia="Google Sans Text" w:hAnsi="Google Sans Text"/>
          <w:color w:val="1f1f1f"/>
          <w:rtl w:val="0"/>
        </w:rPr>
        <w:t xml:space="preserve"> Tikslesnis tyrimas, nes matuoja magnį ląstelės viduje. Sportininkų tyrimai rodo, kad net 22% atletų, turinčių normalų serumo magnį, turi deficitą eritrocituose.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Magnio Išeikvojimo Vertinimas (Magnesium Depletion Score - MDS):</w:t>
      </w:r>
      <w:r w:rsidDel="00000000" w:rsidR="00000000" w:rsidRPr="00000000">
        <w:rPr>
          <w:rFonts w:ascii="Google Sans Text" w:cs="Google Sans Text" w:eastAsia="Google Sans Text" w:hAnsi="Google Sans Text"/>
          <w:color w:val="1f1f1f"/>
          <w:rtl w:val="0"/>
        </w:rPr>
        <w:t xml:space="preserve"> Nesant galimybės atlikti RBC tyrimo, treneris gali naudoti klinikinę anketą rizikai vertinti. MDS balai skiriami už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Diuretikų vartojimą.</w:t>
      </w:r>
    </w:p>
    <w:p w:rsidR="00000000" w:rsidDel="00000000" w:rsidP="00000000" w:rsidRDefault="00000000" w:rsidRPr="00000000" w14:paraId="0000008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Protonų siurblio inhibitorių (vaistų nuo rėmens) vartojimą.</w:t>
      </w:r>
    </w:p>
    <w:p w:rsidR="00000000" w:rsidDel="00000000" w:rsidP="00000000" w:rsidRDefault="00000000" w:rsidRPr="00000000" w14:paraId="0000008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Inkstų funkcijos sutrikimus (reikalinga medicininė istorija).</w:t>
      </w:r>
    </w:p>
    <w:p w:rsidR="00000000" w:rsidDel="00000000" w:rsidP="00000000" w:rsidRDefault="00000000" w:rsidRPr="00000000" w14:paraId="0000008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Alkoholio vartojimą.</w:t>
      </w:r>
    </w:p>
    <w:p w:rsidR="00000000" w:rsidDel="00000000" w:rsidP="00000000" w:rsidRDefault="00000000" w:rsidRPr="00000000" w14:paraId="00000085">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Sportininkams papildomi rizikos faktoriai: gausus prakaitavimas, mažas daržovių suvartojimas.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Simptomatika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Treneris turi stebėti simptomus, kurie koreliuoja su magnio trūkumu, net jei kraujo tyrimai normalūs:</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Raumenų mėšlungis ir trūkčiojimas (tikai).</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Lėtas atsigavimas po krūvio.</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Nemiga, nerimas, dirglumas.</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Širdies permušimai (palpitacijos).32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Esant simptomams, saugu rekomenduoti mitybos korekciją (magnio citratas/glicinatas, žalios lapinės daržovės, riešutai), nes toksinio perdozavimo rizika iš maisto yra minimali sveikiems asmenims.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Uždegimas ir Atsistatymas: hs-CRP ir CK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C-reaktyvusis baltymas (CRP) ir kreatinkinazė (CK) yra pagrindiniai rodikliai vertinant atleto sisteminį stresą ir atsistatymą.</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Didelio Jautrumo CRP (hs-CRP) Interpretacija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Sportininkams naudojamas </w:t>
      </w:r>
      <w:r w:rsidDel="00000000" w:rsidR="00000000" w:rsidRPr="00000000">
        <w:rPr>
          <w:rFonts w:ascii="Google Sans Text" w:cs="Google Sans Text" w:eastAsia="Google Sans Text" w:hAnsi="Google Sans Text"/>
          <w:i w:val="1"/>
          <w:iCs w:val="1"/>
          <w:color w:val="1f1f1f"/>
          <w:rtl w:val="0"/>
        </w:rPr>
        <w:t xml:space="preserve">hs-CRP</w:t>
      </w:r>
      <w:r w:rsidDel="00000000" w:rsidR="00000000" w:rsidRPr="00000000">
        <w:rPr>
          <w:rFonts w:ascii="Google Sans Text" w:cs="Google Sans Text" w:eastAsia="Google Sans Text" w:hAnsi="Google Sans Text"/>
          <w:color w:val="1f1f1f"/>
          <w:rtl w:val="0"/>
        </w:rPr>
        <w:t xml:space="preserve">, kuris gali aptikti mažo laipsnio uždegimą.</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&lt;1 mg/L:</w:t>
      </w:r>
      <w:r w:rsidDel="00000000" w:rsidR="00000000" w:rsidRPr="00000000">
        <w:rPr>
          <w:rFonts w:ascii="Google Sans Text" w:cs="Google Sans Text" w:eastAsia="Google Sans Text" w:hAnsi="Google Sans Text"/>
          <w:color w:val="1f1f1f"/>
          <w:rtl w:val="0"/>
        </w:rPr>
        <w:t xml:space="preserve"> Žemas uždegiminis fonas, optimali būklė.</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1–3 mg/L:</w:t>
      </w:r>
      <w:r w:rsidDel="00000000" w:rsidR="00000000" w:rsidRPr="00000000">
        <w:rPr>
          <w:rFonts w:ascii="Google Sans Text" w:cs="Google Sans Text" w:eastAsia="Google Sans Text" w:hAnsi="Google Sans Text"/>
          <w:color w:val="1f1f1f"/>
          <w:rtl w:val="0"/>
        </w:rPr>
        <w:t xml:space="preserve"> Vidutinė rizika. Gali rodyti nepilną atsistatymą po sunkaus mikrociklo, lėtinį audinių stresą arba mitybos klaidas (didelis cukraus kiekis, mažai antioksidantų).</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&gt;3–5 mg/L:</w:t>
      </w:r>
      <w:r w:rsidDel="00000000" w:rsidR="00000000" w:rsidRPr="00000000">
        <w:rPr>
          <w:rFonts w:ascii="Google Sans Text" w:cs="Google Sans Text" w:eastAsia="Google Sans Text" w:hAnsi="Google Sans Text"/>
          <w:color w:val="1f1f1f"/>
          <w:rtl w:val="0"/>
        </w:rPr>
        <w:t xml:space="preserve"> Aukštas lygis.</w:t>
      </w:r>
    </w:p>
    <w:p w:rsidR="00000000" w:rsidDel="00000000" w:rsidP="00000000" w:rsidRDefault="00000000" w:rsidRPr="00000000" w14:paraId="0000009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Jei nėra peršalimo simptomų: didelis raumenų pažeidimas, pertriniravimo sindromas.</w:t>
      </w:r>
    </w:p>
    <w:p w:rsidR="00000000" w:rsidDel="00000000" w:rsidP="00000000" w:rsidRDefault="00000000" w:rsidRPr="00000000" w14:paraId="0000009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Jei &gt;10 mg/L: dažniausiai rodo ūmią bakterinę ar virusinę infekciją. Tokiu atveju treniruotes būtina stabdyti.</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Praktinis Pritaikymas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Jei hs-CRP yra padidėjęs (pvz., 4 mg/L) kartu su padidėjusia CK (kreatinkinaze), tai rodo didelį mechaninį ir metabolinį stresą. Trenerio veiksmai:</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Mažinti treniruočių intensyvumą („de-load“ savaitė).</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Didinti antioksidantų suvartojimą su maistu (uogos, ciberžolė, omega-3 riebalų rūgštys).</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Užtikrinti miego kokybę.</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Apibendrinimas: Praktinė Sistema Treneriui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efektyviai taikyti šias žinias, rekomenduojama naudoti sisteminį požiūrį.</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Tyrimų Standartizavimas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Kad duomenys būtų patikimi ir palyginami, treneris turi reikalauti griežtos tyrimų atlikimo tvarkos:</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Laikas:</w:t>
      </w:r>
      <w:r w:rsidDel="00000000" w:rsidR="00000000" w:rsidRPr="00000000">
        <w:rPr>
          <w:rFonts w:ascii="Google Sans Text" w:cs="Google Sans Text" w:eastAsia="Google Sans Text" w:hAnsi="Google Sans Text"/>
          <w:color w:val="1f1f1f"/>
          <w:rtl w:val="0"/>
        </w:rPr>
        <w:t xml:space="preserve"> Ryte, nevalgius.</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Hidratacija:</w:t>
      </w:r>
      <w:r w:rsidDel="00000000" w:rsidR="00000000" w:rsidRPr="00000000">
        <w:rPr>
          <w:rFonts w:ascii="Google Sans Text" w:cs="Google Sans Text" w:eastAsia="Google Sans Text" w:hAnsi="Google Sans Text"/>
          <w:color w:val="1f1f1f"/>
          <w:rtl w:val="0"/>
        </w:rPr>
        <w:t xml:space="preserve"> Atletas turi būti gerai hidratuotas (dehidratacija dirbtinai sutirština kraują).</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Krūvis:</w:t>
      </w:r>
      <w:r w:rsidDel="00000000" w:rsidR="00000000" w:rsidRPr="00000000">
        <w:rPr>
          <w:rFonts w:ascii="Google Sans Text" w:cs="Google Sans Text" w:eastAsia="Google Sans Text" w:hAnsi="Google Sans Text"/>
          <w:color w:val="1f1f1f"/>
          <w:rtl w:val="0"/>
        </w:rPr>
        <w:t xml:space="preserve"> Tyrimą atlikti po poilsio dienos arba bent 24 val. po sunkios treniruotės (kad išvengti ūmios fazės reakcijos įtakos feritinui ir leukocitams).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Mitybos Korekcijos „Šviesoforas“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lentelė apibendrina veiksmų planą, remiantis aptartais biomarkeriais: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Biomarkeris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Optimali Zona (Sportinė)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Dėmesio Zona (Mitybos Korekcija)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Raudona Zona (Gydytojas)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Mitybos Strategija (Geltona Zona)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Feritinas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Mot: 40-50+ ng/mL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Vyr: 50-100+ ng/mL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Mot: 20-30 ng/mL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Vyr: 30-50 ng/mL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&lt;15-20 ng/mL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Hemo geležis (mėsa) + Vit C. Vengti kavos/pieno su maistu. Vartoti ryte (ne po krūvio).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Vit D (25-OH)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40–60 ng/mL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20–30 ng/mL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&lt;20 ng/mL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D3 papildai (2000-4000 TV), riebi žuvis. Būtina žiemą ir salės atletams.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400–700 pg/mL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200–300 pg/mL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&lt;200 pg/mL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Gyvūniniai produktai. Veganams – būtini papildai.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hs-CRP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&lt;1.0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1.0–3.0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&gt;5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Anti-uždegiminė mityba (Omega-3, daržovės). Cukraus ribojimas.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T3 (laisvas)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Vidurys – Viršutinė riba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Apatinė riba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Žemiau normos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Didinti energiją ir angliavandenius</w:t>
            </w:r>
            <w:r w:rsidDel="00000000" w:rsidR="00000000" w:rsidRPr="00000000">
              <w:rPr>
                <w:rFonts w:ascii="Google Sans Text" w:cs="Google Sans Text" w:eastAsia="Google Sans Text" w:hAnsi="Google Sans Text"/>
                <w:color w:val="1f1f1f"/>
                <w:shd w:fill="auto" w:val="clear"/>
                <w:rtl w:val="0"/>
              </w:rPr>
              <w:t xml:space="preserve"> (&gt;5-8 g/kg). Vengti badavimo.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82–95 fL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&lt;80 fL (Geležis?)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&gt;98 fL (B12?)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Ekstremalūs nuokrypiai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Jei MCV normalus, bet Hb žemas – tikrinti RDW (mišri anemija).</w:t>
            </w:r>
          </w:p>
        </w:tc>
      </w:tr>
    </w:tbl>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Išvada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Kraujo tyrimų interpretacija sporto mityboje yra galingas įrankis, leidžiantis treneriui matyti „po variklio dangčiu“. Suvokdamas skirtumą tarp klinikinės normos ir sportinio optimalumo, treneris gali identifikuoti ribojančius veiksnius (geležies atsargų išsekimą, vitamino D nepakankamumą, angliavandenių trūkumo sukeltą T3 kritimą) dar prieš jiems tampant klinikinėmis problemomis. Tačiau šis procesas reikalauja griežtos etikos, teisinės atsakomybės suvokimo ir glaudaus bendradarbiavimo su medicinos specialistais. Trenerio tikslas – ne gydyti ligas, o sukurti mitybinę terpę, kurioje atleto organizmas gali adaptuotis maksimaliam krūviui.</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"Normal" Ferritin Is Killing Your Running ... - Runners Connect,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https://runnersconnect.net/ferritin-levels/</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Labs For Health Coaches | Fullscript,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https://fullscript.com/blog/lab-testing-for-health-coaches</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Coaches and Lab Work with Monique Class,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https://functionalmedicinecoaching.org/blog/lab-work-health-coaches/</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Ready-Made Coaching Disclaimer Templates for All Niches - Paperbell,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https://paperbell.com/blog/coaching-disclaimer-template/</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Disclaimers for Health Coaches - TermsFeed,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https://www.termsfeed.com/blog/disclaimers-health-coaches/</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B12 Deficiency: Symptoms, Causes &amp; Treatment - Cleveland Clinic,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https://my.clevelandclinic.org/health/diseases/22831-vitamin-b12-deficiency</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International Olympic Committee's (IOC) consensus statement on Relative Energy Deficiency in Sport (REDs),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https://stillmed.olympics.com/media/Documents/Athletes/Medical-Scientific/Consensus-Statements/REDs/BJSM-IOC-consensus-statement-on-Relative-Energy-Deficiency-in-Sport-REDs.pdf</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Patterns of energy availability and carbohydrate intake differentiate between adaptable and problematic low energy availability in female athletes - Frontiers,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https://www.frontiersin.org/journals/sports-and-active-living/articles/10.3389/fspor.2024.1390558/full</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Short‐Term Severe Low Energy Availability in Athletes: Molecular Mechanisms, Endocrine Responses, and Performance Outcomes—A Narrative Review - NIH,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https://pmc.ncbi.nlm.nih.gov/articles/PMC12180388/</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Energy Availability, Carbohydrate Intake, and Relative Energy Deficiency in Sport: The Low Triiodothyronine Hypothesis - PubMed,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https://pubmed.ncbi.nlm.nih.gov/40639795/</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Energy Availability, Carbohydrate Intake, and Relative Energy Deficiency in Sport: The Low Triiodothyronine Hypothesis - Fisiología del Ejercicio,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https://www.fisiologiadelejercicio.com/wp-content/uploads/2025/07/Low-Energy-Availability.pdf</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caloric restriction and dietary composition of serum T3 and reverse T3 in man - PubMed,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https://pubmed.ncbi.nlm.nih.gov/1249190/</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 controversy: Why low-carb diets have got it all wrong. - Precision Nutrition,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https://www.precisionnutrition.com/low-carb-diets</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Considerations of Low Carbohydrate Availability (LCA) to Relative Energy Deficiency in Sport (RED-S) in Female Endurance Athletes: A Narrative Review - PMC - PubMed Central,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https://pmc.ncbi.nlm.nih.gov/articles/PMC10609849/</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IRONy in Athletic Performance - PMC - PubMed Central - NIH,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https://pmc.ncbi.nlm.nih.gov/articles/PMC10708480/</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"Normal" Iron Levels Aren't Normal - First Endurance,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https://firstendurance.com/blogs/articles/when-normal-iron-levels-aren-t</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deficiency in sports – definition, influence on performance and therapy,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https://smw.ch/index.php/smw/article/view/2087/3053</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Approaches to Prevent Iron Deficiency in Athletes - German Journal of Sports Medicine,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https://www.germanjournalsportsmedicine.com/archive/archive-2024/issue-5/approaches-to-prevent-iron-deficiency-in-athletes/</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Anemia Profile in Elite Israeli Olympic-Level Athletes—Is Screening Necessary? - PMC - NIH,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https://pmc.ncbi.nlm.nih.gov/articles/PMC12735942/</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D in athletes: focus on physical performance and ...,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https://pmc.ncbi.nlm.nih.gov/articles/PMC8342187/</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Acute Calcium Intake on Bone Turnover Markers during a Training Day in Elite Male Rowers - NIH,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https://pmc.ncbi.nlm.nih.gov/articles/PMC9770130/</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B12 Status and Optimal Range for Hemoglobin Formation in ...,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https://www.mdpi.com/2072-6643/12/4/1038</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B12 Deficiency: Signs, Causes and Treatments - Ada Health,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https://ada.com/conditions/vitamin-b12-deficiency/</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B12 Deficiency: Signs to Look Out for - Runner's World,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https://www.runnersworld.com/uk/nutrition/diet/a46516811/vitamin-b12-deficiency/</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 Corpuscular Volume (MCV) - description and reference ranges - onedaytests.com,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https://onedaytests.com/pages/mean-corpuscular-volume-mcv-description-and-reference-ranges</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 Corpuscular Volume - StatPearls - NCBI Bookshelf,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https://www.ncbi.nlm.nih.gov/books/NBK545275/</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Megaloblastic Anemia and Other Causes of Macrocytosis - PMC - NIH,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https://pmc.ncbi.nlm.nih.gov/articles/PMC1570488/</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in the Diagnosis of Magnesium Status - PMC,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https://pmc.ncbi.nlm.nih.gov/articles/PMC6163803/</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8-year Analysis of Magnesium Status in Elite International Track &amp; Field Athletes,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https://pubmed.ncbi.nlm.nih.gov/31829845/</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Magnesium Depletion Score as an Indicator of Health Risk and Nutritional Status—A Scoping Review - NIH,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https://pmc.ncbi.nlm.nih.gov/articles/PMC12566843/</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Magnesium depletion score and depression: a positive correlation among US adults,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https://www.frontiersin.org/journals/public-health/articles/10.3389/fpubh.2024.1486434/full</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Magnesium Deficiency and Symptoms | LloydsPharmacy,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https://lloydspharmacy.com/blogs/vitamins-and-supplement-advice/magnesium-deficiency-symptoms</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Magnesium deficiency: symptoms and solutions for athletes - Mulebar,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https://mulebar.com/en/blogs/news/magnesium-deficiency-symptoms</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CRP and What Health Risks Does It Help Identify? - Forth with Life,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https://www.forthwithlife.co.uk/our-service/biomarkers/crp/</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High-sensitivity C-reactive protein and exercise-induced changes in subjects suspected of coronary artery disease - PMC - NIH,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https://pmc.ncbi.nlm.nih.gov/articles/PMC3977554/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3977554/" TargetMode="External"/><Relationship Id="rId20" Type="http://schemas.openxmlformats.org/officeDocument/2006/relationships/hyperlink" Target="https://pmc.ncbi.nlm.nih.gov/articles/PMC10708480/" TargetMode="External"/><Relationship Id="rId22" Type="http://schemas.openxmlformats.org/officeDocument/2006/relationships/hyperlink" Target="https://smw.ch/index.php/smw/article/view/2087/3053" TargetMode="External"/><Relationship Id="rId21" Type="http://schemas.openxmlformats.org/officeDocument/2006/relationships/hyperlink" Target="https://firstendurance.com/blogs/articles/when-normal-iron-levels-aren-t" TargetMode="External"/><Relationship Id="rId24" Type="http://schemas.openxmlformats.org/officeDocument/2006/relationships/hyperlink" Target="https://pmc.ncbi.nlm.nih.gov/articles/PMC12735942/" TargetMode="External"/><Relationship Id="rId23" Type="http://schemas.openxmlformats.org/officeDocument/2006/relationships/hyperlink" Target="https://www.germanjournalsportsmedicine.com/archive/archive-2024/issue-5/approaches-to-prevent-iron-deficiency-in-athle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bell.com/blog/coaching-disclaimer-template/" TargetMode="External"/><Relationship Id="rId26" Type="http://schemas.openxmlformats.org/officeDocument/2006/relationships/hyperlink" Target="https://pmc.ncbi.nlm.nih.gov/articles/PMC9770130/" TargetMode="External"/><Relationship Id="rId25" Type="http://schemas.openxmlformats.org/officeDocument/2006/relationships/hyperlink" Target="https://pmc.ncbi.nlm.nih.gov/articles/PMC8342187/" TargetMode="External"/><Relationship Id="rId28" Type="http://schemas.openxmlformats.org/officeDocument/2006/relationships/hyperlink" Target="https://ada.com/conditions/vitamin-b12-deficiency/" TargetMode="External"/><Relationship Id="rId27" Type="http://schemas.openxmlformats.org/officeDocument/2006/relationships/hyperlink" Target="https://www.mdpi.com/2072-6643/12/4/1038" TargetMode="External"/><Relationship Id="rId5" Type="http://schemas.openxmlformats.org/officeDocument/2006/relationships/styles" Target="styles.xml"/><Relationship Id="rId6" Type="http://schemas.openxmlformats.org/officeDocument/2006/relationships/hyperlink" Target="https://runnersconnect.net/ferritin-levels/" TargetMode="External"/><Relationship Id="rId29" Type="http://schemas.openxmlformats.org/officeDocument/2006/relationships/hyperlink" Target="https://www.runnersworld.com/uk/nutrition/diet/a46516811/vitamin-b12-deficiency/" TargetMode="External"/><Relationship Id="rId7" Type="http://schemas.openxmlformats.org/officeDocument/2006/relationships/hyperlink" Target="https://fullscript.com/blog/lab-testing-for-health-coaches" TargetMode="External"/><Relationship Id="rId8" Type="http://schemas.openxmlformats.org/officeDocument/2006/relationships/hyperlink" Target="https://functionalmedicinecoaching.org/blog/lab-work-health-coaches/" TargetMode="External"/><Relationship Id="rId31" Type="http://schemas.openxmlformats.org/officeDocument/2006/relationships/hyperlink" Target="https://www.ncbi.nlm.nih.gov/books/NBK545275/" TargetMode="External"/><Relationship Id="rId30" Type="http://schemas.openxmlformats.org/officeDocument/2006/relationships/hyperlink" Target="https://onedaytests.com/pages/mean-corpuscular-volume-mcv-description-and-reference-ranges" TargetMode="External"/><Relationship Id="rId11" Type="http://schemas.openxmlformats.org/officeDocument/2006/relationships/hyperlink" Target="https://my.clevelandclinic.org/health/diseases/22831-vitamin-b12-deficiency" TargetMode="External"/><Relationship Id="rId33" Type="http://schemas.openxmlformats.org/officeDocument/2006/relationships/hyperlink" Target="https://pmc.ncbi.nlm.nih.gov/articles/PMC6163803/" TargetMode="External"/><Relationship Id="rId10" Type="http://schemas.openxmlformats.org/officeDocument/2006/relationships/hyperlink" Target="https://www.termsfeed.com/blog/disclaimers-health-coaches/" TargetMode="External"/><Relationship Id="rId32" Type="http://schemas.openxmlformats.org/officeDocument/2006/relationships/hyperlink" Target="https://pmc.ncbi.nlm.nih.gov/articles/PMC1570488/" TargetMode="External"/><Relationship Id="rId13" Type="http://schemas.openxmlformats.org/officeDocument/2006/relationships/hyperlink" Target="https://www.frontiersin.org/journals/sports-and-active-living/articles/10.3389/fspor.2024.1390558/full" TargetMode="External"/><Relationship Id="rId35" Type="http://schemas.openxmlformats.org/officeDocument/2006/relationships/hyperlink" Target="https://pmc.ncbi.nlm.nih.gov/articles/PMC12566843/" TargetMode="External"/><Relationship Id="rId12" Type="http://schemas.openxmlformats.org/officeDocument/2006/relationships/hyperlink" Target="https://stillmed.olympics.com/media/Documents/Athletes/Medical-Scientific/Consensus-Statements/REDs/BJSM-IOC-consensus-statement-on-Relative-Energy-Deficiency-in-Sport-REDs.pdf" TargetMode="External"/><Relationship Id="rId34" Type="http://schemas.openxmlformats.org/officeDocument/2006/relationships/hyperlink" Target="https://pubmed.ncbi.nlm.nih.gov/31829845/" TargetMode="External"/><Relationship Id="rId15" Type="http://schemas.openxmlformats.org/officeDocument/2006/relationships/hyperlink" Target="https://pubmed.ncbi.nlm.nih.gov/40639795/" TargetMode="External"/><Relationship Id="rId37" Type="http://schemas.openxmlformats.org/officeDocument/2006/relationships/hyperlink" Target="https://lloydspharmacy.com/blogs/vitamins-and-supplement-advice/magnesium-deficiency-symptoms" TargetMode="External"/><Relationship Id="rId14" Type="http://schemas.openxmlformats.org/officeDocument/2006/relationships/hyperlink" Target="https://pmc.ncbi.nlm.nih.gov/articles/PMC12180388/" TargetMode="External"/><Relationship Id="rId36" Type="http://schemas.openxmlformats.org/officeDocument/2006/relationships/hyperlink" Target="https://www.frontiersin.org/journals/public-health/articles/10.3389/fpubh.2024.1486434/full" TargetMode="External"/><Relationship Id="rId17" Type="http://schemas.openxmlformats.org/officeDocument/2006/relationships/hyperlink" Target="https://pubmed.ncbi.nlm.nih.gov/1249190/" TargetMode="External"/><Relationship Id="rId39" Type="http://schemas.openxmlformats.org/officeDocument/2006/relationships/hyperlink" Target="https://www.forthwithlife.co.uk/our-service/biomarkers/crp/" TargetMode="External"/><Relationship Id="rId16" Type="http://schemas.openxmlformats.org/officeDocument/2006/relationships/hyperlink" Target="https://www.fisiologiadelejercicio.com/wp-content/uploads/2025/07/Low-Energy-Availability.pdf" TargetMode="External"/><Relationship Id="rId38" Type="http://schemas.openxmlformats.org/officeDocument/2006/relationships/hyperlink" Target="https://mulebar.com/en/blogs/news/magnesium-deficiency-symptoms" TargetMode="External"/><Relationship Id="rId19" Type="http://schemas.openxmlformats.org/officeDocument/2006/relationships/hyperlink" Target="https://pmc.ncbi.nlm.nih.gov/articles/PMC10609849/" TargetMode="External"/><Relationship Id="rId18" Type="http://schemas.openxmlformats.org/officeDocument/2006/relationships/hyperlink" Target="https://www.precisionnutrition.com/low-carb-di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